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D4" w:rsidRPr="007D6720" w:rsidRDefault="00435E70" w:rsidP="00E775BC">
      <w:pPr>
        <w:spacing w:line="360" w:lineRule="auto"/>
        <w:jc w:val="center"/>
        <w:rPr>
          <w:rFonts w:ascii="宋体" w:hAnsi="宋体"/>
          <w:b/>
          <w:sz w:val="32"/>
          <w:szCs w:val="32"/>
        </w:rPr>
      </w:pPr>
      <w:r>
        <w:rPr>
          <w:rFonts w:ascii="宋体" w:hAnsi="宋体" w:hint="eastAsia"/>
          <w:b/>
          <w:sz w:val="32"/>
          <w:szCs w:val="32"/>
        </w:rPr>
        <w:t>GB/T 8300-20XX</w:t>
      </w:r>
      <w:r w:rsidR="00962651" w:rsidRPr="007D6720">
        <w:rPr>
          <w:rFonts w:ascii="宋体" w:hAnsi="宋体" w:hint="eastAsia"/>
          <w:b/>
          <w:sz w:val="32"/>
          <w:szCs w:val="32"/>
        </w:rPr>
        <w:t>《</w:t>
      </w:r>
      <w:r w:rsidR="00962651">
        <w:rPr>
          <w:rFonts w:ascii="宋体" w:hAnsi="宋体" w:hint="eastAsia"/>
          <w:b/>
          <w:sz w:val="32"/>
          <w:szCs w:val="32"/>
        </w:rPr>
        <w:t>浓缩天然胶乳 碱度</w:t>
      </w:r>
      <w:r w:rsidR="00962651" w:rsidRPr="007D6720">
        <w:rPr>
          <w:rFonts w:ascii="宋体" w:hAnsi="宋体" w:hint="eastAsia"/>
          <w:b/>
          <w:sz w:val="32"/>
          <w:szCs w:val="32"/>
        </w:rPr>
        <w:t>的测定》</w:t>
      </w:r>
    </w:p>
    <w:p w:rsidR="00C53FD4" w:rsidRDefault="0050112F" w:rsidP="00E775BC">
      <w:pPr>
        <w:spacing w:line="360" w:lineRule="auto"/>
        <w:jc w:val="center"/>
        <w:rPr>
          <w:rFonts w:ascii="宋体" w:hAnsi="宋体"/>
          <w:b/>
          <w:sz w:val="32"/>
          <w:szCs w:val="32"/>
        </w:rPr>
      </w:pPr>
      <w:r w:rsidRPr="007D6720">
        <w:rPr>
          <w:rFonts w:ascii="宋体" w:hAnsi="宋体" w:hint="eastAsia"/>
          <w:b/>
          <w:sz w:val="32"/>
          <w:szCs w:val="32"/>
        </w:rPr>
        <w:t>（</w:t>
      </w:r>
      <w:r w:rsidR="00435E70">
        <w:rPr>
          <w:rFonts w:ascii="宋体" w:hAnsi="宋体" w:hint="eastAsia"/>
          <w:b/>
          <w:sz w:val="32"/>
          <w:szCs w:val="32"/>
        </w:rPr>
        <w:t>征求意见</w:t>
      </w:r>
      <w:r w:rsidR="00C53FD4" w:rsidRPr="007D6720">
        <w:rPr>
          <w:rFonts w:ascii="宋体" w:hAnsi="宋体" w:hint="eastAsia"/>
          <w:b/>
          <w:sz w:val="32"/>
          <w:szCs w:val="32"/>
        </w:rPr>
        <w:t>稿</w:t>
      </w:r>
      <w:r w:rsidRPr="007D6720">
        <w:rPr>
          <w:rFonts w:ascii="宋体" w:hAnsi="宋体" w:hint="eastAsia"/>
          <w:b/>
          <w:sz w:val="32"/>
          <w:szCs w:val="32"/>
        </w:rPr>
        <w:t>）</w:t>
      </w:r>
      <w:r w:rsidR="00C53FD4" w:rsidRPr="007D6720">
        <w:rPr>
          <w:rFonts w:ascii="宋体" w:hAnsi="宋体" w:hint="eastAsia"/>
          <w:b/>
          <w:sz w:val="32"/>
          <w:szCs w:val="32"/>
        </w:rPr>
        <w:t>编制说明</w:t>
      </w:r>
    </w:p>
    <w:p w:rsidR="00644AF2" w:rsidRPr="007D6720" w:rsidRDefault="00644AF2" w:rsidP="00E775BC">
      <w:pPr>
        <w:spacing w:line="360" w:lineRule="auto"/>
        <w:jc w:val="center"/>
        <w:rPr>
          <w:rFonts w:ascii="宋体" w:hAnsi="宋体"/>
          <w:b/>
          <w:sz w:val="32"/>
          <w:szCs w:val="32"/>
        </w:rPr>
      </w:pPr>
    </w:p>
    <w:p w:rsidR="00F57C61" w:rsidRPr="005B02FF" w:rsidRDefault="00F57C61" w:rsidP="00E775BC">
      <w:pPr>
        <w:spacing w:line="360" w:lineRule="auto"/>
        <w:rPr>
          <w:rFonts w:ascii="黑体" w:eastAsia="黑体" w:hAnsi="黑体"/>
          <w:sz w:val="24"/>
        </w:rPr>
      </w:pPr>
      <w:r w:rsidRPr="005B02FF">
        <w:rPr>
          <w:rFonts w:ascii="黑体" w:eastAsia="黑体" w:hAnsi="黑体" w:hint="eastAsia"/>
          <w:sz w:val="24"/>
        </w:rPr>
        <w:t>1 简况</w:t>
      </w:r>
    </w:p>
    <w:p w:rsidR="00F57C61" w:rsidRPr="005B02FF" w:rsidRDefault="00F57C61" w:rsidP="00E775BC">
      <w:pPr>
        <w:spacing w:line="360" w:lineRule="auto"/>
        <w:rPr>
          <w:rFonts w:ascii="黑体" w:eastAsia="黑体" w:hAnsi="黑体"/>
          <w:bCs/>
          <w:sz w:val="24"/>
        </w:rPr>
      </w:pPr>
      <w:r w:rsidRPr="005B02FF">
        <w:rPr>
          <w:rFonts w:ascii="黑体" w:eastAsia="黑体" w:hAnsi="黑体" w:hint="eastAsia"/>
          <w:bCs/>
          <w:sz w:val="24"/>
        </w:rPr>
        <w:t>1.1 任务来源</w:t>
      </w:r>
    </w:p>
    <w:p w:rsidR="00D106CA" w:rsidRPr="007D6720" w:rsidRDefault="00D106CA" w:rsidP="00E775BC">
      <w:pPr>
        <w:spacing w:line="360" w:lineRule="auto"/>
        <w:ind w:firstLineChars="200" w:firstLine="480"/>
        <w:rPr>
          <w:rFonts w:ascii="宋体" w:hAnsi="宋体"/>
          <w:sz w:val="24"/>
        </w:rPr>
      </w:pPr>
      <w:r w:rsidRPr="007D6720">
        <w:rPr>
          <w:rFonts w:ascii="宋体" w:hAnsi="宋体" w:hint="eastAsia"/>
          <w:sz w:val="24"/>
        </w:rPr>
        <w:t>根据国标委综合[201</w:t>
      </w:r>
      <w:r w:rsidR="0040095A">
        <w:rPr>
          <w:rFonts w:ascii="宋体" w:hAnsi="宋体" w:hint="eastAsia"/>
          <w:sz w:val="24"/>
        </w:rPr>
        <w:t>3</w:t>
      </w:r>
      <w:r w:rsidRPr="007D6720">
        <w:rPr>
          <w:rFonts w:ascii="宋体" w:hAnsi="宋体" w:hint="eastAsia"/>
          <w:sz w:val="24"/>
        </w:rPr>
        <w:t>]</w:t>
      </w:r>
      <w:r w:rsidR="0040095A">
        <w:rPr>
          <w:rFonts w:ascii="宋体" w:hAnsi="宋体" w:hint="eastAsia"/>
          <w:sz w:val="24"/>
        </w:rPr>
        <w:t>90</w:t>
      </w:r>
      <w:r w:rsidRPr="007D6720">
        <w:rPr>
          <w:rFonts w:ascii="宋体" w:hAnsi="宋体" w:hint="eastAsia"/>
          <w:sz w:val="24"/>
        </w:rPr>
        <w:t>号文件“</w:t>
      </w:r>
      <w:r w:rsidR="0040095A">
        <w:rPr>
          <w:rFonts w:ascii="宋体" w:hAnsi="宋体" w:hint="eastAsia"/>
          <w:sz w:val="24"/>
        </w:rPr>
        <w:t>国家标准委</w:t>
      </w:r>
      <w:r w:rsidRPr="007D6720">
        <w:rPr>
          <w:rFonts w:ascii="宋体" w:hAnsi="宋体" w:hint="eastAsia"/>
          <w:sz w:val="24"/>
        </w:rPr>
        <w:t>关于下达</w:t>
      </w:r>
      <w:r w:rsidR="0040095A" w:rsidRPr="007D6720">
        <w:rPr>
          <w:rFonts w:ascii="宋体" w:hAnsi="宋体" w:hint="eastAsia"/>
          <w:sz w:val="24"/>
        </w:rPr>
        <w:t>201</w:t>
      </w:r>
      <w:r w:rsidR="0040095A">
        <w:rPr>
          <w:rFonts w:ascii="宋体" w:hAnsi="宋体" w:hint="eastAsia"/>
          <w:sz w:val="24"/>
        </w:rPr>
        <w:t>3</w:t>
      </w:r>
      <w:r w:rsidRPr="007D6720">
        <w:rPr>
          <w:rFonts w:ascii="宋体" w:hAnsi="宋体" w:hint="eastAsia"/>
          <w:sz w:val="24"/>
        </w:rPr>
        <w:t>年</w:t>
      </w:r>
      <w:r w:rsidR="0040095A">
        <w:rPr>
          <w:rFonts w:ascii="宋体" w:hAnsi="宋体" w:hint="eastAsia"/>
          <w:sz w:val="24"/>
        </w:rPr>
        <w:t>第二批</w:t>
      </w:r>
      <w:r w:rsidRPr="007D6720">
        <w:rPr>
          <w:rFonts w:ascii="宋体" w:hAnsi="宋体" w:hint="eastAsia"/>
          <w:sz w:val="24"/>
        </w:rPr>
        <w:t>国家标准制修订计划的通知”，国家标准修订项目《</w:t>
      </w:r>
      <w:r w:rsidR="003C0BCA" w:rsidRPr="003C0BCA">
        <w:rPr>
          <w:rFonts w:ascii="宋体" w:hAnsi="宋体" w:hint="eastAsia"/>
          <w:sz w:val="24"/>
        </w:rPr>
        <w:t>浓缩天然胶乳</w:t>
      </w:r>
      <w:r w:rsidR="003C0BCA" w:rsidRPr="003C0BCA">
        <w:rPr>
          <w:rFonts w:ascii="宋体" w:hAnsi="宋体"/>
          <w:sz w:val="24"/>
        </w:rPr>
        <w:t xml:space="preserve"> </w:t>
      </w:r>
      <w:r w:rsidR="003C0BCA" w:rsidRPr="003C0BCA">
        <w:rPr>
          <w:rFonts w:ascii="宋体" w:hAnsi="宋体" w:hint="eastAsia"/>
          <w:sz w:val="24"/>
        </w:rPr>
        <w:t>碱度的测定</w:t>
      </w:r>
      <w:r w:rsidRPr="007D6720">
        <w:rPr>
          <w:rFonts w:ascii="宋体" w:hAnsi="宋体" w:hint="eastAsia"/>
          <w:sz w:val="24"/>
        </w:rPr>
        <w:t>》（项目编号</w:t>
      </w:r>
      <w:r w:rsidR="0040095A" w:rsidRPr="0040095A">
        <w:rPr>
          <w:rFonts w:ascii="宋体" w:hAnsi="宋体"/>
          <w:sz w:val="24"/>
        </w:rPr>
        <w:t>20131499-T-606</w:t>
      </w:r>
      <w:r w:rsidRPr="007D6720">
        <w:rPr>
          <w:rFonts w:ascii="宋体" w:hAnsi="宋体" w:hint="eastAsia"/>
          <w:sz w:val="24"/>
        </w:rPr>
        <w:t>）</w:t>
      </w:r>
      <w:r w:rsidR="00435E70">
        <w:rPr>
          <w:rFonts w:ascii="宋体" w:hAnsi="宋体" w:hint="eastAsia"/>
          <w:sz w:val="24"/>
        </w:rPr>
        <w:t>，对</w:t>
      </w:r>
      <w:r w:rsidRPr="007D6720">
        <w:rPr>
          <w:rFonts w:ascii="宋体" w:hAnsi="宋体" w:hint="eastAsia"/>
          <w:sz w:val="24"/>
        </w:rPr>
        <w:t xml:space="preserve">GB/T </w:t>
      </w:r>
      <w:r w:rsidR="0040095A">
        <w:rPr>
          <w:rFonts w:ascii="宋体" w:hAnsi="宋体" w:hint="eastAsia"/>
          <w:sz w:val="24"/>
        </w:rPr>
        <w:t>8300</w:t>
      </w:r>
      <w:r w:rsidR="00C5181F">
        <w:rPr>
          <w:rFonts w:ascii="宋体" w:hAnsi="宋体" w:hint="eastAsia"/>
          <w:sz w:val="24"/>
        </w:rPr>
        <w:t>-</w:t>
      </w:r>
      <w:r w:rsidR="0040095A" w:rsidRPr="007D6720">
        <w:rPr>
          <w:rFonts w:ascii="宋体" w:hAnsi="宋体" w:hint="eastAsia"/>
          <w:sz w:val="24"/>
        </w:rPr>
        <w:t>200</w:t>
      </w:r>
      <w:r w:rsidR="0040095A">
        <w:rPr>
          <w:rFonts w:ascii="宋体" w:hAnsi="宋体" w:hint="eastAsia"/>
          <w:sz w:val="24"/>
        </w:rPr>
        <w:t>8</w:t>
      </w:r>
      <w:r w:rsidR="00435E70">
        <w:rPr>
          <w:rFonts w:ascii="宋体" w:hAnsi="宋体" w:hint="eastAsia"/>
          <w:sz w:val="24"/>
        </w:rPr>
        <w:t>《浓缩天然胶乳 碱度的测定》进行修订。</w:t>
      </w:r>
      <w:r w:rsidRPr="007D6720">
        <w:rPr>
          <w:rFonts w:ascii="宋体" w:hAnsi="宋体" w:hint="eastAsia"/>
          <w:sz w:val="24"/>
        </w:rPr>
        <w:t>由中国石油和化学工业联合会提出，全国橡胶与橡胶制品标准化技术委员会天然橡胶分技术委员会（SAC/TC 35/SC 8）归口，中国热带农业科学院农产品加工研究所</w:t>
      </w:r>
      <w:r w:rsidR="00DB6D4E">
        <w:rPr>
          <w:rFonts w:ascii="宋体" w:hAnsi="宋体" w:hint="eastAsia"/>
          <w:sz w:val="24"/>
        </w:rPr>
        <w:t>、</w:t>
      </w:r>
      <w:r w:rsidR="00DB6D4E" w:rsidRPr="004E045A">
        <w:rPr>
          <w:rFonts w:hAnsi="宋体" w:hint="eastAsia"/>
          <w:szCs w:val="21"/>
        </w:rPr>
        <w:t>广东省广垦橡胶集团有限公司茂名分公司</w:t>
      </w:r>
      <w:r w:rsidR="00DB6D4E">
        <w:rPr>
          <w:rFonts w:hAnsi="宋体" w:hint="eastAsia"/>
          <w:szCs w:val="21"/>
        </w:rPr>
        <w:t>、</w:t>
      </w:r>
      <w:r w:rsidR="00DB6D4E" w:rsidRPr="004E045A">
        <w:rPr>
          <w:rFonts w:hAnsi="宋体" w:hint="eastAsia"/>
          <w:szCs w:val="21"/>
        </w:rPr>
        <w:t>海南天然橡胶产业集团股份有限公司</w:t>
      </w:r>
      <w:r w:rsidR="00DB6D4E">
        <w:rPr>
          <w:rFonts w:hAnsi="宋体" w:hint="eastAsia"/>
          <w:szCs w:val="21"/>
        </w:rPr>
        <w:t>、</w:t>
      </w:r>
      <w:r w:rsidR="00DB6D4E" w:rsidRPr="004E045A">
        <w:rPr>
          <w:rFonts w:hAnsi="宋体" w:hint="eastAsia"/>
          <w:szCs w:val="21"/>
        </w:rPr>
        <w:t>农业部天然橡胶质量监督检测测试中心</w:t>
      </w:r>
      <w:r w:rsidRPr="007D6720">
        <w:rPr>
          <w:rFonts w:ascii="宋体" w:hAnsi="宋体" w:hint="eastAsia"/>
          <w:sz w:val="24"/>
        </w:rPr>
        <w:t>负责起草, 完成期限</w:t>
      </w:r>
      <w:r w:rsidR="009742C4">
        <w:rPr>
          <w:rFonts w:ascii="宋体" w:hAnsi="宋体" w:hint="eastAsia"/>
          <w:sz w:val="24"/>
        </w:rPr>
        <w:t>至</w:t>
      </w:r>
      <w:r w:rsidR="0040095A" w:rsidRPr="007D6720">
        <w:rPr>
          <w:rFonts w:ascii="宋体" w:hAnsi="宋体"/>
          <w:sz w:val="24"/>
        </w:rPr>
        <w:t>201</w:t>
      </w:r>
      <w:r w:rsidR="0040095A">
        <w:rPr>
          <w:rFonts w:ascii="宋体" w:hAnsi="宋体" w:hint="eastAsia"/>
          <w:sz w:val="24"/>
        </w:rPr>
        <w:t>5</w:t>
      </w:r>
      <w:r w:rsidRPr="007D6720">
        <w:rPr>
          <w:rFonts w:ascii="宋体" w:hAnsi="宋体" w:hint="eastAsia"/>
          <w:sz w:val="24"/>
        </w:rPr>
        <w:t>年</w:t>
      </w:r>
      <w:r w:rsidRPr="007D6720">
        <w:rPr>
          <w:rFonts w:ascii="宋体" w:hAnsi="宋体"/>
          <w:sz w:val="24"/>
        </w:rPr>
        <w:t>12</w:t>
      </w:r>
      <w:r w:rsidRPr="007D6720">
        <w:rPr>
          <w:rFonts w:ascii="宋体" w:hAnsi="宋体" w:hint="eastAsia"/>
          <w:sz w:val="24"/>
        </w:rPr>
        <w:t>月。</w:t>
      </w:r>
    </w:p>
    <w:p w:rsidR="00F57C61" w:rsidRPr="00245D31" w:rsidRDefault="00F57C61" w:rsidP="00E775BC">
      <w:pPr>
        <w:spacing w:line="360" w:lineRule="auto"/>
        <w:rPr>
          <w:rFonts w:ascii="黑体" w:eastAsia="黑体" w:hAnsi="黑体"/>
          <w:bCs/>
          <w:sz w:val="24"/>
        </w:rPr>
      </w:pPr>
      <w:r w:rsidRPr="00245D31">
        <w:rPr>
          <w:rFonts w:ascii="黑体" w:eastAsia="黑体" w:hAnsi="黑体" w:hint="eastAsia"/>
          <w:bCs/>
          <w:sz w:val="24"/>
        </w:rPr>
        <w:t>1.2 本标准制定的意义</w:t>
      </w:r>
    </w:p>
    <w:p w:rsidR="009742C4" w:rsidRPr="00585BB3" w:rsidRDefault="003C0BCA" w:rsidP="009742C4">
      <w:pPr>
        <w:pStyle w:val="a9"/>
        <w:spacing w:line="360" w:lineRule="auto"/>
        <w:ind w:leftChars="0" w:left="0" w:firstLineChars="200" w:firstLine="480"/>
        <w:rPr>
          <w:rFonts w:ascii="宋体" w:hAnsi="宋体"/>
          <w:sz w:val="24"/>
        </w:rPr>
      </w:pPr>
      <w:r w:rsidRPr="003C0BCA">
        <w:rPr>
          <w:rFonts w:ascii="宋体" w:hAnsi="宋体" w:hint="eastAsia"/>
          <w:sz w:val="24"/>
        </w:rPr>
        <w:t>天然胶乳具有优异的成膜性、湿凝胶强度、生物相容性等综合性能，是制造各种乳胶制品最理想的高分子材料。我国是天然橡胶消费大国，年消耗天然橡胶</w:t>
      </w:r>
      <w:r w:rsidRPr="003C0BCA">
        <w:rPr>
          <w:rFonts w:ascii="宋体" w:hAnsi="宋体"/>
          <w:sz w:val="24"/>
        </w:rPr>
        <w:t>300</w:t>
      </w:r>
      <w:r w:rsidRPr="003C0BCA">
        <w:rPr>
          <w:rFonts w:ascii="宋体" w:hAnsi="宋体" w:hint="eastAsia"/>
          <w:sz w:val="24"/>
        </w:rPr>
        <w:t>多万吨，其中，浓缩天然胶乳消耗量</w:t>
      </w:r>
      <w:r w:rsidRPr="003C0BCA">
        <w:rPr>
          <w:rFonts w:ascii="宋体" w:hAnsi="宋体"/>
          <w:sz w:val="24"/>
        </w:rPr>
        <w:t>50</w:t>
      </w:r>
      <w:r w:rsidRPr="003C0BCA">
        <w:rPr>
          <w:rFonts w:ascii="宋体" w:hAnsi="宋体" w:hint="eastAsia"/>
          <w:sz w:val="24"/>
        </w:rPr>
        <w:t>多万吨，除大约</w:t>
      </w:r>
      <w:r w:rsidRPr="003C0BCA">
        <w:rPr>
          <w:rFonts w:ascii="宋体" w:hAnsi="宋体"/>
          <w:sz w:val="24"/>
        </w:rPr>
        <w:t>20</w:t>
      </w:r>
      <w:r w:rsidRPr="003C0BCA">
        <w:rPr>
          <w:rFonts w:ascii="宋体" w:hAnsi="宋体" w:hint="eastAsia"/>
          <w:sz w:val="24"/>
        </w:rPr>
        <w:t>万吨国产胶乳外，进口</w:t>
      </w:r>
      <w:r w:rsidR="00435E70">
        <w:rPr>
          <w:rFonts w:ascii="宋体" w:hAnsi="宋体" w:hint="eastAsia"/>
          <w:sz w:val="24"/>
        </w:rPr>
        <w:t>浓缩</w:t>
      </w:r>
      <w:r w:rsidRPr="003C0BCA">
        <w:rPr>
          <w:rFonts w:ascii="宋体" w:hAnsi="宋体" w:hint="eastAsia"/>
          <w:sz w:val="24"/>
        </w:rPr>
        <w:t>天然胶乳</w:t>
      </w:r>
      <w:r w:rsidRPr="003C0BCA">
        <w:rPr>
          <w:rFonts w:ascii="宋体" w:hAnsi="宋体"/>
          <w:sz w:val="24"/>
        </w:rPr>
        <w:t>30</w:t>
      </w:r>
      <w:r w:rsidRPr="003C0BCA">
        <w:rPr>
          <w:rFonts w:ascii="宋体" w:hAnsi="宋体" w:hint="eastAsia"/>
          <w:sz w:val="24"/>
        </w:rPr>
        <w:t>多万吨。长期以来，</w:t>
      </w:r>
      <w:r w:rsidR="00435E70">
        <w:rPr>
          <w:rFonts w:ascii="宋体" w:hAnsi="宋体" w:hint="eastAsia"/>
          <w:sz w:val="24"/>
        </w:rPr>
        <w:t>浓缩天然</w:t>
      </w:r>
      <w:r w:rsidRPr="003C0BCA">
        <w:rPr>
          <w:rFonts w:ascii="宋体" w:hAnsi="宋体" w:hint="eastAsia"/>
          <w:sz w:val="24"/>
        </w:rPr>
        <w:t>胶乳的质量问题一直是胶乳行业最关注的问题之一，尤其是近年来</w:t>
      </w:r>
      <w:r w:rsidR="00435E70">
        <w:rPr>
          <w:rFonts w:ascii="宋体" w:hAnsi="宋体" w:hint="eastAsia"/>
          <w:sz w:val="24"/>
        </w:rPr>
        <w:t>浓缩天然</w:t>
      </w:r>
      <w:r w:rsidRPr="003C0BCA">
        <w:rPr>
          <w:rFonts w:ascii="宋体" w:hAnsi="宋体" w:hint="eastAsia"/>
          <w:sz w:val="24"/>
        </w:rPr>
        <w:t>胶乳的质量不稳定，不论是国产</w:t>
      </w:r>
      <w:r w:rsidR="00435E70">
        <w:rPr>
          <w:rFonts w:ascii="宋体" w:hAnsi="宋体" w:hint="eastAsia"/>
          <w:sz w:val="24"/>
        </w:rPr>
        <w:t>天然</w:t>
      </w:r>
      <w:r w:rsidRPr="003C0BCA">
        <w:rPr>
          <w:rFonts w:ascii="宋体" w:hAnsi="宋体" w:hint="eastAsia"/>
          <w:sz w:val="24"/>
        </w:rPr>
        <w:t>胶乳还是进口</w:t>
      </w:r>
      <w:r w:rsidR="00435E70">
        <w:rPr>
          <w:rFonts w:ascii="宋体" w:hAnsi="宋体" w:hint="eastAsia"/>
          <w:sz w:val="24"/>
        </w:rPr>
        <w:t>天然</w:t>
      </w:r>
      <w:r w:rsidRPr="003C0BCA">
        <w:rPr>
          <w:rFonts w:ascii="宋体" w:hAnsi="宋体" w:hint="eastAsia"/>
          <w:sz w:val="24"/>
        </w:rPr>
        <w:t>胶乳，都不同程度</w:t>
      </w:r>
      <w:r w:rsidR="00435E70">
        <w:rPr>
          <w:rFonts w:ascii="宋体" w:hAnsi="宋体" w:hint="eastAsia"/>
          <w:sz w:val="24"/>
        </w:rPr>
        <w:t>地</w:t>
      </w:r>
      <w:r w:rsidRPr="003C0BCA">
        <w:rPr>
          <w:rFonts w:ascii="宋体" w:hAnsi="宋体" w:hint="eastAsia"/>
          <w:sz w:val="24"/>
        </w:rPr>
        <w:t>存在一些问题。因此，加强</w:t>
      </w:r>
      <w:r w:rsidR="00435E70">
        <w:rPr>
          <w:rFonts w:ascii="宋体" w:hAnsi="宋体" w:hint="eastAsia"/>
          <w:sz w:val="24"/>
        </w:rPr>
        <w:t>浓缩</w:t>
      </w:r>
      <w:r w:rsidRPr="003C0BCA">
        <w:rPr>
          <w:rFonts w:ascii="宋体" w:hAnsi="宋体" w:hint="eastAsia"/>
          <w:sz w:val="24"/>
        </w:rPr>
        <w:t>天然胶乳质量管理，完善</w:t>
      </w:r>
      <w:r w:rsidR="00435E70">
        <w:rPr>
          <w:rFonts w:ascii="宋体" w:hAnsi="宋体" w:hint="eastAsia"/>
          <w:sz w:val="24"/>
        </w:rPr>
        <w:t>浓缩天然</w:t>
      </w:r>
      <w:r w:rsidRPr="003C0BCA">
        <w:rPr>
          <w:rFonts w:ascii="宋体" w:hAnsi="宋体" w:hint="eastAsia"/>
          <w:sz w:val="24"/>
        </w:rPr>
        <w:t>胶乳质量检测标准至关重要。</w:t>
      </w:r>
    </w:p>
    <w:p w:rsidR="001E30DE" w:rsidRPr="001E30DE" w:rsidRDefault="00F0457A" w:rsidP="00314018">
      <w:pPr>
        <w:spacing w:line="360" w:lineRule="auto"/>
        <w:ind w:firstLineChars="200" w:firstLine="480"/>
        <w:rPr>
          <w:rFonts w:ascii="宋体" w:hAnsi="宋体"/>
          <w:sz w:val="24"/>
        </w:rPr>
      </w:pPr>
      <w:r>
        <w:rPr>
          <w:rFonts w:ascii="宋体" w:hAnsi="宋体" w:hint="eastAsia"/>
          <w:sz w:val="24"/>
        </w:rPr>
        <w:t>碱度是衡量浓缩天然胶乳品质及稳定性的重要指标，对</w:t>
      </w:r>
      <w:r w:rsidR="00435E70">
        <w:rPr>
          <w:rFonts w:ascii="宋体" w:hAnsi="宋体" w:hint="eastAsia"/>
          <w:sz w:val="24"/>
        </w:rPr>
        <w:t>浓缩天然</w:t>
      </w:r>
      <w:r>
        <w:rPr>
          <w:rFonts w:ascii="宋体" w:hAnsi="宋体" w:hint="eastAsia"/>
          <w:sz w:val="24"/>
        </w:rPr>
        <w:t>胶乳的贮存稳定具有指导意义。众所周知，为抑制细菌的繁殖，天然胶乳中需要加入适量的氨水以保持胶乳的稳定性，氨水的加入量通常</w:t>
      </w:r>
      <w:r w:rsidR="002050A8">
        <w:rPr>
          <w:rFonts w:ascii="宋体" w:hAnsi="宋体" w:hint="eastAsia"/>
          <w:sz w:val="24"/>
        </w:rPr>
        <w:t>是</w:t>
      </w:r>
      <w:r>
        <w:rPr>
          <w:rFonts w:ascii="宋体" w:hAnsi="宋体" w:hint="eastAsia"/>
          <w:sz w:val="24"/>
        </w:rPr>
        <w:t>用碱度指标来衡量的。</w:t>
      </w:r>
      <w:r w:rsidR="001E30DE">
        <w:rPr>
          <w:rFonts w:ascii="宋体" w:hAnsi="宋体" w:hint="eastAsia"/>
          <w:sz w:val="24"/>
        </w:rPr>
        <w:t>因此，对</w:t>
      </w:r>
      <w:r w:rsidR="00435E70">
        <w:rPr>
          <w:rFonts w:ascii="宋体" w:hAnsi="宋体" w:hint="eastAsia"/>
          <w:sz w:val="24"/>
        </w:rPr>
        <w:t>浓缩</w:t>
      </w:r>
      <w:r w:rsidR="001E30DE">
        <w:rPr>
          <w:rFonts w:ascii="宋体" w:hAnsi="宋体" w:hint="eastAsia"/>
          <w:sz w:val="24"/>
        </w:rPr>
        <w:t>天然胶乳碱度的测定是评价</w:t>
      </w:r>
      <w:r w:rsidR="007360AE">
        <w:rPr>
          <w:rFonts w:ascii="宋体" w:hAnsi="宋体" w:hint="eastAsia"/>
          <w:sz w:val="24"/>
        </w:rPr>
        <w:t>其</w:t>
      </w:r>
      <w:r w:rsidR="001E30DE">
        <w:rPr>
          <w:rFonts w:ascii="宋体" w:hAnsi="宋体" w:hint="eastAsia"/>
          <w:sz w:val="24"/>
        </w:rPr>
        <w:t>质量的重要指标之一。</w:t>
      </w:r>
      <w:r w:rsidR="007360AE">
        <w:rPr>
          <w:rFonts w:ascii="宋体" w:hAnsi="宋体" w:hint="eastAsia"/>
          <w:sz w:val="24"/>
        </w:rPr>
        <w:t>为此，</w:t>
      </w:r>
      <w:r w:rsidR="007360AE" w:rsidDel="007360AE">
        <w:rPr>
          <w:rFonts w:ascii="宋体" w:hAnsi="宋体" w:hint="eastAsia"/>
          <w:sz w:val="24"/>
        </w:rPr>
        <w:t xml:space="preserve"> </w:t>
      </w:r>
      <w:r w:rsidR="001E30DE">
        <w:rPr>
          <w:rFonts w:ascii="宋体" w:hAnsi="宋体" w:hint="eastAsia"/>
          <w:sz w:val="24"/>
        </w:rPr>
        <w:t>国际标准化组织“橡胶与橡胶制品标准化技术委员会”（ISO/TC45）</w:t>
      </w:r>
      <w:r w:rsidR="007360AE">
        <w:rPr>
          <w:rFonts w:ascii="宋体" w:hAnsi="宋体" w:hint="eastAsia"/>
          <w:sz w:val="24"/>
        </w:rPr>
        <w:t>于1974年</w:t>
      </w:r>
      <w:r w:rsidR="001E30DE">
        <w:rPr>
          <w:rFonts w:ascii="宋体" w:hAnsi="宋体" w:hint="eastAsia"/>
          <w:sz w:val="24"/>
        </w:rPr>
        <w:t>首次发布</w:t>
      </w:r>
      <w:r w:rsidR="007360AE">
        <w:rPr>
          <w:rFonts w:ascii="宋体" w:hAnsi="宋体" w:hint="eastAsia"/>
          <w:sz w:val="24"/>
        </w:rPr>
        <w:t>了</w:t>
      </w:r>
      <w:r w:rsidR="003C0BCA" w:rsidRPr="003C0BCA">
        <w:rPr>
          <w:rFonts w:ascii="宋体" w:hAnsi="宋体"/>
          <w:sz w:val="24"/>
        </w:rPr>
        <w:t xml:space="preserve">ISO </w:t>
      </w:r>
      <w:r w:rsidR="003C0BCA" w:rsidRPr="003C0BCA">
        <w:rPr>
          <w:rFonts w:ascii="宋体" w:hAnsi="宋体" w:hint="eastAsia"/>
          <w:sz w:val="24"/>
        </w:rPr>
        <w:t>125：197</w:t>
      </w:r>
      <w:r w:rsidR="003C0BCA" w:rsidRPr="003C0BCA">
        <w:rPr>
          <w:rFonts w:ascii="宋体" w:hAnsi="宋体"/>
          <w:sz w:val="24"/>
        </w:rPr>
        <w:t>4</w:t>
      </w:r>
      <w:r w:rsidR="003C0BCA" w:rsidRPr="003C0BCA">
        <w:rPr>
          <w:rFonts w:ascii="宋体" w:hAnsi="宋体" w:hint="eastAsia"/>
          <w:sz w:val="24"/>
        </w:rPr>
        <w:t>《浓缩天然胶乳</w:t>
      </w:r>
      <w:r w:rsidR="003C0BCA" w:rsidRPr="003C0BCA">
        <w:rPr>
          <w:rFonts w:ascii="宋体" w:hAnsi="宋体"/>
          <w:sz w:val="24"/>
        </w:rPr>
        <w:t xml:space="preserve"> </w:t>
      </w:r>
      <w:r w:rsidR="003C0BCA" w:rsidRPr="003C0BCA">
        <w:rPr>
          <w:rFonts w:ascii="宋体" w:hAnsi="宋体" w:hint="eastAsia"/>
          <w:sz w:val="24"/>
        </w:rPr>
        <w:t>碱度的测定》</w:t>
      </w:r>
      <w:r w:rsidR="007360AE">
        <w:rPr>
          <w:rFonts w:ascii="宋体" w:hAnsi="宋体" w:hint="eastAsia"/>
          <w:sz w:val="24"/>
        </w:rPr>
        <w:t>。随后，</w:t>
      </w:r>
      <w:r w:rsidR="003C0BCA" w:rsidRPr="003C0BCA">
        <w:rPr>
          <w:rFonts w:ascii="宋体" w:hAnsi="宋体" w:hint="eastAsia"/>
          <w:sz w:val="24"/>
        </w:rPr>
        <w:t>于1977年、1983年、1990年、</w:t>
      </w:r>
      <w:r w:rsidR="003C0BCA" w:rsidRPr="003C0BCA">
        <w:rPr>
          <w:rFonts w:ascii="宋体" w:hAnsi="宋体"/>
          <w:sz w:val="24"/>
        </w:rPr>
        <w:t>2003</w:t>
      </w:r>
      <w:r w:rsidR="003C0BCA" w:rsidRPr="003C0BCA">
        <w:rPr>
          <w:rFonts w:ascii="宋体" w:hAnsi="宋体" w:hint="eastAsia"/>
          <w:sz w:val="24"/>
        </w:rPr>
        <w:t>年和2011年先后对</w:t>
      </w:r>
      <w:r w:rsidR="00F06BE2">
        <w:rPr>
          <w:rFonts w:ascii="宋体" w:hAnsi="宋体" w:hint="eastAsia"/>
          <w:sz w:val="24"/>
        </w:rPr>
        <w:t>其</w:t>
      </w:r>
      <w:r w:rsidR="003C0BCA" w:rsidRPr="003C0BCA">
        <w:rPr>
          <w:rFonts w:ascii="宋体" w:hAnsi="宋体" w:hint="eastAsia"/>
          <w:sz w:val="24"/>
        </w:rPr>
        <w:t>进行了5次修订。</w:t>
      </w:r>
      <w:r w:rsidR="007360AE">
        <w:rPr>
          <w:rFonts w:ascii="宋体" w:hAnsi="宋体" w:hint="eastAsia"/>
          <w:sz w:val="24"/>
        </w:rPr>
        <w:t>这充分说明了ISO/TC45对浓缩天然胶乳碱度测定的重视程度。</w:t>
      </w:r>
      <w:r w:rsidR="003C0BCA" w:rsidRPr="003C0BCA">
        <w:rPr>
          <w:rFonts w:ascii="宋体" w:hAnsi="宋体" w:hint="eastAsia"/>
          <w:sz w:val="24"/>
        </w:rPr>
        <w:t>我国于1987年首次采用ISO</w:t>
      </w:r>
      <w:r w:rsidR="003C0BCA" w:rsidRPr="003C0BCA">
        <w:rPr>
          <w:rFonts w:ascii="宋体" w:hAnsi="宋体"/>
          <w:sz w:val="24"/>
        </w:rPr>
        <w:t xml:space="preserve"> </w:t>
      </w:r>
      <w:r w:rsidR="003C0BCA" w:rsidRPr="003C0BCA">
        <w:rPr>
          <w:rFonts w:ascii="宋体" w:hAnsi="宋体" w:hint="eastAsia"/>
          <w:sz w:val="24"/>
        </w:rPr>
        <w:t>125：198</w:t>
      </w:r>
      <w:r w:rsidR="003C0BCA" w:rsidRPr="003C0BCA">
        <w:rPr>
          <w:rFonts w:ascii="宋体" w:hAnsi="宋体"/>
          <w:sz w:val="24"/>
        </w:rPr>
        <w:t>3</w:t>
      </w:r>
      <w:r w:rsidR="003C0BCA" w:rsidRPr="003C0BCA">
        <w:rPr>
          <w:rFonts w:ascii="宋体" w:hAnsi="宋体" w:hint="eastAsia"/>
          <w:sz w:val="24"/>
        </w:rPr>
        <w:t>《天然胶乳</w:t>
      </w:r>
      <w:r w:rsidR="003C0BCA" w:rsidRPr="003C0BCA">
        <w:rPr>
          <w:rFonts w:ascii="宋体" w:hAnsi="宋体"/>
          <w:sz w:val="24"/>
        </w:rPr>
        <w:t xml:space="preserve"> </w:t>
      </w:r>
      <w:r w:rsidR="003C0BCA" w:rsidRPr="003C0BCA">
        <w:rPr>
          <w:rFonts w:ascii="宋体" w:hAnsi="宋体" w:hint="eastAsia"/>
          <w:sz w:val="24"/>
        </w:rPr>
        <w:t>碱度的测定》（第三版）制订了GB/T</w:t>
      </w:r>
      <w:r w:rsidR="003C0BCA" w:rsidRPr="003C0BCA">
        <w:rPr>
          <w:rFonts w:ascii="宋体" w:hAnsi="宋体"/>
          <w:sz w:val="24"/>
        </w:rPr>
        <w:t xml:space="preserve"> 8300</w:t>
      </w:r>
      <w:r w:rsidR="0065370E">
        <w:rPr>
          <w:rFonts w:ascii="宋体" w:hAnsi="宋体" w:hint="eastAsia"/>
          <w:sz w:val="24"/>
        </w:rPr>
        <w:t>-</w:t>
      </w:r>
      <w:r w:rsidR="003C0BCA" w:rsidRPr="003C0BCA">
        <w:rPr>
          <w:rFonts w:ascii="宋体" w:hAnsi="宋体" w:hint="eastAsia"/>
          <w:sz w:val="24"/>
        </w:rPr>
        <w:t>1987《天然浓缩胶乳</w:t>
      </w:r>
      <w:r w:rsidR="003C0BCA" w:rsidRPr="003C0BCA">
        <w:rPr>
          <w:rFonts w:ascii="宋体" w:hAnsi="宋体"/>
          <w:sz w:val="24"/>
        </w:rPr>
        <w:t xml:space="preserve"> </w:t>
      </w:r>
      <w:r w:rsidR="003C0BCA" w:rsidRPr="003C0BCA">
        <w:rPr>
          <w:rFonts w:ascii="宋体" w:hAnsi="宋体" w:hint="eastAsia"/>
          <w:sz w:val="24"/>
        </w:rPr>
        <w:t>碱度的测定》。2001年</w:t>
      </w:r>
      <w:r w:rsidR="0065370E">
        <w:rPr>
          <w:rFonts w:ascii="宋体" w:hAnsi="宋体" w:hint="eastAsia"/>
          <w:sz w:val="24"/>
        </w:rPr>
        <w:t>和2008年</w:t>
      </w:r>
      <w:r w:rsidR="003C0BCA" w:rsidRPr="003C0BCA">
        <w:rPr>
          <w:rFonts w:ascii="宋体" w:hAnsi="宋体" w:hint="eastAsia"/>
          <w:sz w:val="24"/>
        </w:rPr>
        <w:t>又</w:t>
      </w:r>
      <w:r w:rsidR="0065370E">
        <w:rPr>
          <w:rFonts w:ascii="宋体" w:hAnsi="宋体" w:hint="eastAsia"/>
          <w:sz w:val="24"/>
        </w:rPr>
        <w:t>分别</w:t>
      </w:r>
      <w:r w:rsidR="003C0BCA" w:rsidRPr="003C0BCA">
        <w:rPr>
          <w:rFonts w:ascii="宋体" w:hAnsi="宋体" w:hint="eastAsia"/>
          <w:sz w:val="24"/>
        </w:rPr>
        <w:t>等同采用ISO</w:t>
      </w:r>
      <w:r w:rsidR="003C0BCA" w:rsidRPr="003C0BCA">
        <w:rPr>
          <w:rFonts w:ascii="宋体" w:hAnsi="宋体"/>
          <w:sz w:val="24"/>
        </w:rPr>
        <w:t xml:space="preserve"> </w:t>
      </w:r>
      <w:r w:rsidR="003C0BCA" w:rsidRPr="003C0BCA">
        <w:rPr>
          <w:rFonts w:ascii="宋体" w:hAnsi="宋体" w:hint="eastAsia"/>
          <w:sz w:val="24"/>
        </w:rPr>
        <w:t>125：</w:t>
      </w:r>
      <w:r w:rsidR="003C0BCA" w:rsidRPr="003C0BCA">
        <w:rPr>
          <w:rFonts w:ascii="宋体" w:hAnsi="宋体"/>
          <w:sz w:val="24"/>
        </w:rPr>
        <w:t>1990</w:t>
      </w:r>
      <w:r w:rsidR="0065370E">
        <w:rPr>
          <w:rFonts w:ascii="宋体" w:hAnsi="宋体" w:hint="eastAsia"/>
          <w:sz w:val="24"/>
        </w:rPr>
        <w:t>和ISO 125：</w:t>
      </w:r>
      <w:r w:rsidR="0065370E">
        <w:rPr>
          <w:rFonts w:ascii="宋体" w:hAnsi="宋体" w:hint="eastAsia"/>
          <w:sz w:val="24"/>
        </w:rPr>
        <w:lastRenderedPageBreak/>
        <w:t>2003对</w:t>
      </w:r>
      <w:r w:rsidR="007360AE">
        <w:rPr>
          <w:rFonts w:ascii="宋体" w:hAnsi="宋体" w:hint="eastAsia"/>
          <w:sz w:val="24"/>
        </w:rPr>
        <w:t>GB/T 8300</w:t>
      </w:r>
      <w:r w:rsidR="003C0BCA" w:rsidRPr="003C0BCA">
        <w:rPr>
          <w:rFonts w:ascii="宋体" w:hAnsi="宋体" w:hint="eastAsia"/>
          <w:sz w:val="24"/>
        </w:rPr>
        <w:t>《</w:t>
      </w:r>
      <w:r w:rsidR="007360AE">
        <w:rPr>
          <w:rFonts w:ascii="宋体" w:hAnsi="宋体" w:hint="eastAsia"/>
          <w:sz w:val="24"/>
        </w:rPr>
        <w:t>浓缩</w:t>
      </w:r>
      <w:r w:rsidR="003C0BCA" w:rsidRPr="003C0BCA">
        <w:rPr>
          <w:rFonts w:ascii="宋体" w:hAnsi="宋体" w:hint="eastAsia"/>
          <w:sz w:val="24"/>
        </w:rPr>
        <w:t>天然胶乳</w:t>
      </w:r>
      <w:r w:rsidR="003C0BCA" w:rsidRPr="003C0BCA">
        <w:rPr>
          <w:rFonts w:ascii="宋体" w:hAnsi="宋体"/>
          <w:sz w:val="24"/>
        </w:rPr>
        <w:t xml:space="preserve"> </w:t>
      </w:r>
      <w:r w:rsidR="003C0BCA" w:rsidRPr="003C0BCA">
        <w:rPr>
          <w:rFonts w:ascii="宋体" w:hAnsi="宋体" w:hint="eastAsia"/>
          <w:sz w:val="24"/>
        </w:rPr>
        <w:t>碱度的测定》进行了修订。</w:t>
      </w:r>
    </w:p>
    <w:p w:rsidR="003D5B4F" w:rsidRDefault="001C064F" w:rsidP="00D8594E">
      <w:pPr>
        <w:spacing w:line="360" w:lineRule="auto"/>
        <w:ind w:firstLineChars="200" w:firstLine="480"/>
        <w:rPr>
          <w:rFonts w:ascii="宋体" w:hAnsi="宋体"/>
          <w:sz w:val="24"/>
        </w:rPr>
      </w:pPr>
      <w:r>
        <w:rPr>
          <w:rFonts w:ascii="宋体" w:hAnsi="宋体" w:hint="eastAsia"/>
          <w:sz w:val="24"/>
        </w:rPr>
        <w:t>碱度是GB/T 8289</w:t>
      </w:r>
      <w:r w:rsidR="003D5B4F">
        <w:rPr>
          <w:rFonts w:ascii="宋体" w:hAnsi="宋体" w:hint="eastAsia"/>
          <w:sz w:val="24"/>
        </w:rPr>
        <w:t>《</w:t>
      </w:r>
      <w:r>
        <w:rPr>
          <w:rFonts w:ascii="宋体" w:hAnsi="宋体" w:hint="eastAsia"/>
          <w:sz w:val="24"/>
        </w:rPr>
        <w:t>浓缩天然胶乳 氨保存离心或膏化胶乳 规格</w:t>
      </w:r>
      <w:r w:rsidR="003D5B4F">
        <w:rPr>
          <w:rFonts w:ascii="宋体" w:hAnsi="宋体" w:hint="eastAsia"/>
          <w:sz w:val="24"/>
        </w:rPr>
        <w:t>》</w:t>
      </w:r>
      <w:r>
        <w:rPr>
          <w:rFonts w:ascii="宋体" w:hAnsi="宋体" w:hint="eastAsia"/>
          <w:sz w:val="24"/>
        </w:rPr>
        <w:t>的技术指标之一，</w:t>
      </w:r>
      <w:r w:rsidRPr="007D6720">
        <w:rPr>
          <w:rFonts w:ascii="宋体" w:hAnsi="宋体" w:hint="eastAsia"/>
          <w:sz w:val="24"/>
        </w:rPr>
        <w:t xml:space="preserve">因此，GB/T </w:t>
      </w:r>
      <w:r>
        <w:rPr>
          <w:rFonts w:ascii="宋体" w:hAnsi="宋体" w:hint="eastAsia"/>
          <w:sz w:val="24"/>
        </w:rPr>
        <w:t>8300</w:t>
      </w:r>
      <w:r w:rsidR="003D5B4F">
        <w:rPr>
          <w:rFonts w:ascii="宋体" w:hAnsi="宋体" w:hint="eastAsia"/>
          <w:sz w:val="24"/>
        </w:rPr>
        <w:t>《浓缩天然胶乳 碱度的测定》</w:t>
      </w:r>
      <w:r w:rsidRPr="007D6720">
        <w:rPr>
          <w:rFonts w:ascii="宋体" w:hAnsi="宋体"/>
          <w:sz w:val="24"/>
        </w:rPr>
        <w:t>在</w:t>
      </w:r>
      <w:r w:rsidRPr="007D6720">
        <w:rPr>
          <w:rFonts w:ascii="宋体" w:hAnsi="宋体" w:hint="eastAsia"/>
          <w:sz w:val="24"/>
        </w:rPr>
        <w:t>天然橡胶</w:t>
      </w:r>
      <w:r w:rsidRPr="007D6720">
        <w:rPr>
          <w:rFonts w:ascii="宋体" w:hAnsi="宋体"/>
          <w:sz w:val="24"/>
        </w:rPr>
        <w:t>标准体系中</w:t>
      </w:r>
      <w:r w:rsidRPr="007D6720">
        <w:rPr>
          <w:rFonts w:ascii="宋体" w:hAnsi="宋体" w:hint="eastAsia"/>
          <w:sz w:val="24"/>
        </w:rPr>
        <w:t>具有不可或缺的作用。</w:t>
      </w:r>
      <w:r w:rsidR="003D5B4F">
        <w:rPr>
          <w:rFonts w:ascii="宋体" w:hAnsi="宋体" w:hint="eastAsia"/>
          <w:sz w:val="24"/>
        </w:rPr>
        <w:t>鉴于ISO/TC45于</w:t>
      </w:r>
      <w:r w:rsidR="00DB6D4E">
        <w:rPr>
          <w:rFonts w:ascii="宋体" w:hAnsi="宋体" w:hint="eastAsia"/>
          <w:sz w:val="24"/>
        </w:rPr>
        <w:t>2</w:t>
      </w:r>
      <w:r w:rsidR="00DB6D4E">
        <w:rPr>
          <w:rFonts w:ascii="宋体" w:hAnsi="宋体" w:hint="eastAsia"/>
          <w:sz w:val="24"/>
        </w:rPr>
        <w:t>011</w:t>
      </w:r>
      <w:r w:rsidR="003D5B4F">
        <w:rPr>
          <w:rFonts w:ascii="宋体" w:hAnsi="宋体" w:hint="eastAsia"/>
          <w:sz w:val="24"/>
        </w:rPr>
        <w:t>年再次对ISO 125</w:t>
      </w:r>
      <w:r w:rsidR="008471A5">
        <w:rPr>
          <w:rFonts w:ascii="宋体" w:hAnsi="宋体" w:hint="eastAsia"/>
          <w:sz w:val="24"/>
        </w:rPr>
        <w:t>：</w:t>
      </w:r>
      <w:r w:rsidR="003D5B4F">
        <w:rPr>
          <w:rFonts w:ascii="宋体" w:hAnsi="宋体" w:hint="eastAsia"/>
          <w:sz w:val="24"/>
        </w:rPr>
        <w:t>2003进行了修订，有必要及时对GB/T 8300《浓缩天然胶乳 碱度的测定》进行修订，以便使GB/T 8300与ISO 125 保持一致。</w:t>
      </w:r>
      <w:r w:rsidR="00D8594E">
        <w:rPr>
          <w:rFonts w:ascii="宋体" w:hAnsi="宋体" w:hint="eastAsia"/>
          <w:sz w:val="24"/>
        </w:rPr>
        <w:t>实际上，</w:t>
      </w:r>
      <w:r w:rsidR="00644AF2">
        <w:rPr>
          <w:rFonts w:ascii="宋体" w:hAnsi="宋体" w:hint="eastAsia"/>
          <w:sz w:val="24"/>
        </w:rPr>
        <w:t>在此以前对</w:t>
      </w:r>
      <w:r w:rsidR="00D8594E">
        <w:rPr>
          <w:rFonts w:ascii="宋体" w:hAnsi="宋体" w:hint="eastAsia"/>
          <w:sz w:val="24"/>
        </w:rPr>
        <w:t>GB/T 8300</w:t>
      </w:r>
      <w:r w:rsidR="00644AF2">
        <w:rPr>
          <w:rFonts w:ascii="宋体" w:hAnsi="宋体" w:hint="eastAsia"/>
          <w:sz w:val="24"/>
        </w:rPr>
        <w:t>的</w:t>
      </w:r>
      <w:r w:rsidR="00D8594E">
        <w:rPr>
          <w:rFonts w:ascii="宋体" w:hAnsi="宋体" w:hint="eastAsia"/>
          <w:sz w:val="24"/>
        </w:rPr>
        <w:t>修订都是等同采用ISO</w:t>
      </w:r>
      <w:r w:rsidR="00644AF2">
        <w:rPr>
          <w:rFonts w:ascii="宋体" w:hAnsi="宋体" w:hint="eastAsia"/>
          <w:sz w:val="24"/>
        </w:rPr>
        <w:t xml:space="preserve"> </w:t>
      </w:r>
      <w:r w:rsidR="00D8594E">
        <w:rPr>
          <w:rFonts w:ascii="宋体" w:hAnsi="宋体" w:hint="eastAsia"/>
          <w:sz w:val="24"/>
        </w:rPr>
        <w:t>125相应版本。这不仅使国GB/T8300的</w:t>
      </w:r>
      <w:r w:rsidR="00D8594E" w:rsidRPr="007D6720">
        <w:rPr>
          <w:rFonts w:ascii="宋体" w:hAnsi="宋体" w:hint="eastAsia"/>
          <w:sz w:val="24"/>
        </w:rPr>
        <w:t>技术内容更加规范，</w:t>
      </w:r>
      <w:r w:rsidR="00D8594E">
        <w:rPr>
          <w:rFonts w:ascii="宋体" w:hAnsi="宋体" w:hint="eastAsia"/>
          <w:sz w:val="24"/>
        </w:rPr>
        <w:t>也在技术上充分保障了</w:t>
      </w:r>
      <w:r w:rsidR="00D8594E" w:rsidRPr="007D6720">
        <w:rPr>
          <w:rFonts w:ascii="宋体" w:hAnsi="宋体" w:hint="eastAsia"/>
          <w:sz w:val="24"/>
        </w:rPr>
        <w:t>我国天然</w:t>
      </w:r>
      <w:r w:rsidR="00D8594E">
        <w:rPr>
          <w:rFonts w:ascii="宋体" w:hAnsi="宋体" w:hint="eastAsia"/>
          <w:sz w:val="24"/>
        </w:rPr>
        <w:t>胶乳</w:t>
      </w:r>
      <w:r w:rsidR="00D8594E" w:rsidRPr="007D6720">
        <w:rPr>
          <w:rFonts w:ascii="宋体" w:hAnsi="宋体" w:hint="eastAsia"/>
          <w:sz w:val="24"/>
        </w:rPr>
        <w:t>生产和国际贸易。</w:t>
      </w:r>
      <w:r w:rsidR="00644AF2">
        <w:rPr>
          <w:rFonts w:ascii="宋体" w:hAnsi="宋体" w:hint="eastAsia"/>
          <w:sz w:val="24"/>
        </w:rPr>
        <w:t>有鉴于此，GB/T 8300修订工作组经过反复调研和讨论，确定</w:t>
      </w:r>
      <w:r w:rsidR="00D8594E">
        <w:rPr>
          <w:rFonts w:ascii="宋体" w:hAnsi="宋体" w:hint="eastAsia"/>
          <w:sz w:val="24"/>
        </w:rPr>
        <w:t>本次对</w:t>
      </w:r>
      <w:r w:rsidR="00D8594E" w:rsidRPr="007D6720">
        <w:rPr>
          <w:rFonts w:ascii="宋体" w:hAnsi="宋体" w:hint="eastAsia"/>
          <w:sz w:val="24"/>
        </w:rPr>
        <w:t xml:space="preserve">GB/T </w:t>
      </w:r>
      <w:r w:rsidR="00D8594E">
        <w:rPr>
          <w:rFonts w:ascii="宋体" w:hAnsi="宋体" w:hint="eastAsia"/>
          <w:sz w:val="24"/>
        </w:rPr>
        <w:t>8300-2008</w:t>
      </w:r>
      <w:r w:rsidR="00D8594E" w:rsidRPr="0098410C">
        <w:rPr>
          <w:rFonts w:ascii="宋体" w:hAnsi="宋体" w:hint="eastAsia"/>
          <w:sz w:val="24"/>
        </w:rPr>
        <w:t>《浓缩天然胶乳</w:t>
      </w:r>
      <w:r w:rsidR="00D8594E" w:rsidRPr="0098410C">
        <w:rPr>
          <w:rFonts w:ascii="宋体" w:hAnsi="宋体"/>
          <w:sz w:val="24"/>
        </w:rPr>
        <w:t xml:space="preserve"> </w:t>
      </w:r>
      <w:r w:rsidR="00D8594E" w:rsidRPr="0098410C">
        <w:rPr>
          <w:rFonts w:ascii="宋体" w:hAnsi="宋体" w:hint="eastAsia"/>
          <w:sz w:val="24"/>
        </w:rPr>
        <w:t>碱度的测定》</w:t>
      </w:r>
      <w:r w:rsidR="00D8594E">
        <w:rPr>
          <w:rFonts w:ascii="宋体" w:hAnsi="宋体" w:hint="eastAsia"/>
          <w:sz w:val="24"/>
        </w:rPr>
        <w:t>进行修订</w:t>
      </w:r>
      <w:r w:rsidR="00644AF2">
        <w:rPr>
          <w:rFonts w:ascii="宋体" w:hAnsi="宋体" w:hint="eastAsia"/>
          <w:sz w:val="24"/>
        </w:rPr>
        <w:t>依然</w:t>
      </w:r>
      <w:r w:rsidR="00D8594E">
        <w:rPr>
          <w:rFonts w:ascii="宋体" w:hAnsi="宋体" w:hint="eastAsia"/>
          <w:sz w:val="24"/>
        </w:rPr>
        <w:t>等同采用国际标准ISO 125</w:t>
      </w:r>
      <w:r w:rsidR="00644AF2">
        <w:rPr>
          <w:rFonts w:ascii="宋体" w:hAnsi="宋体" w:hint="eastAsia"/>
          <w:sz w:val="24"/>
        </w:rPr>
        <w:t>：</w:t>
      </w:r>
      <w:r w:rsidR="00D8594E">
        <w:rPr>
          <w:rFonts w:ascii="宋体" w:hAnsi="宋体" w:hint="eastAsia"/>
          <w:sz w:val="24"/>
        </w:rPr>
        <w:t>2011。</w:t>
      </w:r>
    </w:p>
    <w:p w:rsidR="00582652" w:rsidRDefault="00644AF2">
      <w:pPr>
        <w:spacing w:line="360" w:lineRule="auto"/>
        <w:ind w:firstLineChars="200" w:firstLine="480"/>
        <w:rPr>
          <w:rFonts w:ascii="宋体" w:hAnsi="宋体"/>
          <w:sz w:val="24"/>
        </w:rPr>
      </w:pPr>
      <w:r>
        <w:rPr>
          <w:rFonts w:ascii="宋体" w:hAnsi="宋体" w:hint="eastAsia"/>
          <w:sz w:val="24"/>
        </w:rPr>
        <w:t>ISO 125：2011与前一版本</w:t>
      </w:r>
      <w:r w:rsidR="003D5B4F">
        <w:rPr>
          <w:rFonts w:ascii="宋体" w:hAnsi="宋体" w:hint="eastAsia"/>
          <w:sz w:val="24"/>
        </w:rPr>
        <w:t>ISO 125</w:t>
      </w:r>
      <w:r>
        <w:rPr>
          <w:rFonts w:ascii="宋体" w:hAnsi="宋体" w:hint="eastAsia"/>
          <w:sz w:val="24"/>
        </w:rPr>
        <w:t>：2003相比，</w:t>
      </w:r>
      <w:r w:rsidR="00915BEF">
        <w:rPr>
          <w:rFonts w:ascii="宋体" w:hAnsi="宋体" w:hint="eastAsia"/>
          <w:sz w:val="24"/>
        </w:rPr>
        <w:t>主要</w:t>
      </w:r>
      <w:r w:rsidR="003D5B4F">
        <w:rPr>
          <w:rFonts w:ascii="宋体" w:hAnsi="宋体" w:hint="eastAsia"/>
          <w:sz w:val="24"/>
        </w:rPr>
        <w:t>针对</w:t>
      </w:r>
      <w:r w:rsidR="00915BEF">
        <w:rPr>
          <w:rFonts w:ascii="宋体" w:hAnsi="宋体" w:hint="eastAsia"/>
          <w:sz w:val="24"/>
        </w:rPr>
        <w:t>以下几方面</w:t>
      </w:r>
      <w:r w:rsidR="003D5B4F">
        <w:rPr>
          <w:rFonts w:ascii="宋体" w:hAnsi="宋体" w:hint="eastAsia"/>
          <w:sz w:val="24"/>
        </w:rPr>
        <w:t>的技术内容进行</w:t>
      </w:r>
      <w:r w:rsidR="00915BEF">
        <w:rPr>
          <w:rFonts w:ascii="宋体" w:hAnsi="宋体" w:hint="eastAsia"/>
          <w:sz w:val="24"/>
        </w:rPr>
        <w:t>了</w:t>
      </w:r>
      <w:r w:rsidR="003D5B4F">
        <w:rPr>
          <w:rFonts w:ascii="宋体" w:hAnsi="宋体" w:hint="eastAsia"/>
          <w:sz w:val="24"/>
        </w:rPr>
        <w:t>修订。</w:t>
      </w:r>
      <w:r w:rsidR="00915BEF">
        <w:rPr>
          <w:rFonts w:ascii="宋体" w:hAnsi="宋体" w:hint="eastAsia"/>
          <w:sz w:val="24"/>
        </w:rPr>
        <w:t>（1）在试剂部分</w:t>
      </w:r>
      <w:r w:rsidR="003D5B4F">
        <w:rPr>
          <w:rFonts w:ascii="宋体" w:hAnsi="宋体" w:hint="eastAsia"/>
          <w:sz w:val="24"/>
        </w:rPr>
        <w:t>，</w:t>
      </w:r>
      <w:r w:rsidR="009A078A">
        <w:rPr>
          <w:rFonts w:ascii="宋体" w:hAnsi="宋体" w:hint="eastAsia"/>
          <w:sz w:val="24"/>
        </w:rPr>
        <w:t>增加了</w:t>
      </w:r>
      <w:r w:rsidR="003D5B4F">
        <w:rPr>
          <w:rFonts w:ascii="宋体" w:hAnsi="宋体" w:hint="eastAsia"/>
          <w:sz w:val="24"/>
        </w:rPr>
        <w:t>对</w:t>
      </w:r>
      <w:r w:rsidR="009A078A">
        <w:rPr>
          <w:rFonts w:ascii="宋体" w:hAnsi="宋体" w:hint="eastAsia"/>
          <w:sz w:val="24"/>
        </w:rPr>
        <w:t>碳酸钠和甲基橙的规定</w:t>
      </w:r>
      <w:r w:rsidR="00915BEF">
        <w:rPr>
          <w:rFonts w:ascii="宋体" w:hAnsi="宋体" w:hint="eastAsia"/>
          <w:sz w:val="24"/>
        </w:rPr>
        <w:t>；（2）在操作部分</w:t>
      </w:r>
      <w:r w:rsidR="003D5B4F">
        <w:rPr>
          <w:rFonts w:ascii="宋体" w:hAnsi="宋体" w:hint="eastAsia"/>
          <w:sz w:val="24"/>
        </w:rPr>
        <w:t>，</w:t>
      </w:r>
      <w:r w:rsidR="00915BEF">
        <w:rPr>
          <w:rFonts w:ascii="宋体" w:hAnsi="宋体" w:hint="eastAsia"/>
          <w:color w:val="000000"/>
          <w:sz w:val="24"/>
        </w:rPr>
        <w:t>对显色滴定</w:t>
      </w:r>
      <w:r w:rsidR="00D8594E">
        <w:rPr>
          <w:rFonts w:ascii="宋体" w:hAnsi="宋体" w:hint="eastAsia"/>
          <w:color w:val="000000"/>
          <w:sz w:val="24"/>
        </w:rPr>
        <w:t>操作</w:t>
      </w:r>
      <w:r w:rsidR="00915BEF">
        <w:rPr>
          <w:rFonts w:ascii="宋体" w:hAnsi="宋体" w:hint="eastAsia"/>
          <w:color w:val="000000"/>
          <w:sz w:val="24"/>
        </w:rPr>
        <w:t>进行了更详细的</w:t>
      </w:r>
      <w:r w:rsidR="00D8594E">
        <w:rPr>
          <w:rFonts w:ascii="宋体" w:hAnsi="宋体" w:hint="eastAsia"/>
          <w:color w:val="000000"/>
          <w:sz w:val="24"/>
        </w:rPr>
        <w:t>规定</w:t>
      </w:r>
      <w:r w:rsidR="00915BEF">
        <w:rPr>
          <w:rFonts w:ascii="宋体" w:hAnsi="宋体" w:hint="eastAsia"/>
          <w:color w:val="000000"/>
          <w:sz w:val="24"/>
        </w:rPr>
        <w:t>；（3）将精密度的说明</w:t>
      </w:r>
      <w:r w:rsidR="00D8594E">
        <w:rPr>
          <w:rFonts w:ascii="宋体" w:hAnsi="宋体" w:hint="eastAsia"/>
          <w:color w:val="000000"/>
          <w:sz w:val="24"/>
        </w:rPr>
        <w:t>作为</w:t>
      </w:r>
      <w:r w:rsidR="009A078A">
        <w:rPr>
          <w:rFonts w:ascii="宋体" w:hAnsi="宋体" w:hint="eastAsia"/>
          <w:sz w:val="24"/>
        </w:rPr>
        <w:t>资料性附录</w:t>
      </w:r>
      <w:r w:rsidR="00915BEF">
        <w:rPr>
          <w:rFonts w:ascii="宋体" w:hAnsi="宋体" w:hint="eastAsia"/>
          <w:sz w:val="24"/>
        </w:rPr>
        <w:t>A</w:t>
      </w:r>
      <w:r w:rsidR="009A078A">
        <w:rPr>
          <w:rFonts w:ascii="宋体" w:hAnsi="宋体" w:hint="eastAsia"/>
          <w:sz w:val="24"/>
        </w:rPr>
        <w:t>。</w:t>
      </w:r>
      <w:r w:rsidR="00777041">
        <w:rPr>
          <w:rFonts w:ascii="宋体" w:hAnsi="宋体" w:hint="eastAsia"/>
          <w:sz w:val="24"/>
        </w:rPr>
        <w:t>这</w:t>
      </w:r>
      <w:r w:rsidR="00582652">
        <w:rPr>
          <w:rFonts w:ascii="宋体" w:hAnsi="宋体" w:hint="eastAsia"/>
          <w:sz w:val="24"/>
        </w:rPr>
        <w:t>次修订使</w:t>
      </w:r>
      <w:r>
        <w:rPr>
          <w:rFonts w:ascii="宋体" w:hAnsi="宋体" w:hint="eastAsia"/>
          <w:sz w:val="24"/>
        </w:rPr>
        <w:t>浓缩天然</w:t>
      </w:r>
      <w:r w:rsidR="00582652">
        <w:rPr>
          <w:rFonts w:ascii="宋体" w:hAnsi="宋体" w:hint="eastAsia"/>
          <w:sz w:val="24"/>
        </w:rPr>
        <w:t>胶乳碱度的测定更加准确、可靠，</w:t>
      </w:r>
      <w:r w:rsidR="00777041">
        <w:rPr>
          <w:rFonts w:ascii="宋体" w:hAnsi="宋体" w:hint="eastAsia"/>
          <w:sz w:val="24"/>
        </w:rPr>
        <w:t>有利于天然胶乳初加工企业控制胶乳质量，保持</w:t>
      </w:r>
      <w:r w:rsidR="00D8594E">
        <w:rPr>
          <w:rFonts w:ascii="宋体" w:hAnsi="宋体" w:hint="eastAsia"/>
          <w:sz w:val="24"/>
        </w:rPr>
        <w:t>浓缩天然</w:t>
      </w:r>
      <w:r w:rsidR="00777041">
        <w:rPr>
          <w:rFonts w:ascii="宋体" w:hAnsi="宋体" w:hint="eastAsia"/>
          <w:sz w:val="24"/>
        </w:rPr>
        <w:t>胶乳的品质一致，更为胶乳制品企业提供了更可靠的</w:t>
      </w:r>
      <w:r w:rsidR="00314018">
        <w:rPr>
          <w:rFonts w:ascii="宋体" w:hAnsi="宋体" w:hint="eastAsia"/>
          <w:sz w:val="24"/>
        </w:rPr>
        <w:t>工艺</w:t>
      </w:r>
      <w:r w:rsidR="00777041">
        <w:rPr>
          <w:rFonts w:ascii="宋体" w:hAnsi="宋体" w:hint="eastAsia"/>
          <w:sz w:val="24"/>
        </w:rPr>
        <w:t>数据</w:t>
      </w:r>
      <w:r w:rsidR="00314018">
        <w:rPr>
          <w:rFonts w:ascii="宋体" w:hAnsi="宋体" w:hint="eastAsia"/>
          <w:sz w:val="24"/>
        </w:rPr>
        <w:t>。</w:t>
      </w:r>
    </w:p>
    <w:p w:rsidR="00044A1C" w:rsidRPr="00245D31" w:rsidRDefault="00044A1C" w:rsidP="00E775BC">
      <w:pPr>
        <w:spacing w:line="360" w:lineRule="auto"/>
        <w:rPr>
          <w:rFonts w:ascii="黑体" w:eastAsia="黑体" w:hAnsi="黑体"/>
          <w:bCs/>
          <w:sz w:val="24"/>
        </w:rPr>
      </w:pPr>
      <w:bookmarkStart w:id="0" w:name="1"/>
      <w:bookmarkEnd w:id="0"/>
      <w:r w:rsidRPr="00245D31">
        <w:rPr>
          <w:rFonts w:ascii="黑体" w:eastAsia="黑体" w:hAnsi="黑体" w:hint="eastAsia"/>
          <w:bCs/>
          <w:sz w:val="24"/>
        </w:rPr>
        <w:t>1.3 主要工作过程</w:t>
      </w:r>
    </w:p>
    <w:p w:rsidR="00044A1C" w:rsidRPr="00333D3D" w:rsidRDefault="003C0BCA" w:rsidP="00E775BC">
      <w:pPr>
        <w:spacing w:line="360" w:lineRule="auto"/>
        <w:ind w:firstLineChars="200" w:firstLine="480"/>
        <w:rPr>
          <w:sz w:val="24"/>
        </w:rPr>
      </w:pPr>
      <w:r w:rsidRPr="003C0BCA">
        <w:rPr>
          <w:sz w:val="24"/>
        </w:rPr>
        <w:t>2013</w:t>
      </w:r>
      <w:r w:rsidRPr="003C0BCA">
        <w:rPr>
          <w:rFonts w:hAnsi="宋体"/>
          <w:sz w:val="24"/>
        </w:rPr>
        <w:t>年</w:t>
      </w:r>
      <w:r w:rsidRPr="003C0BCA">
        <w:rPr>
          <w:sz w:val="24"/>
        </w:rPr>
        <w:t>12</w:t>
      </w:r>
      <w:r w:rsidRPr="003C0BCA">
        <w:rPr>
          <w:rFonts w:hAnsi="宋体"/>
          <w:sz w:val="24"/>
        </w:rPr>
        <w:t>月，在国家标准</w:t>
      </w:r>
      <w:r w:rsidRPr="003C0BCA">
        <w:rPr>
          <w:rFonts w:hAnsi="宋体" w:hint="eastAsia"/>
          <w:sz w:val="24"/>
        </w:rPr>
        <w:t>修订</w:t>
      </w:r>
      <w:r w:rsidRPr="003C0BCA">
        <w:rPr>
          <w:rFonts w:hAnsi="宋体"/>
          <w:sz w:val="24"/>
        </w:rPr>
        <w:t>项目计划下达后，成立了标准</w:t>
      </w:r>
      <w:r w:rsidRPr="003C0BCA">
        <w:rPr>
          <w:rFonts w:hAnsi="宋体" w:hint="eastAsia"/>
          <w:sz w:val="24"/>
        </w:rPr>
        <w:t>修订</w:t>
      </w:r>
      <w:r w:rsidRPr="003C0BCA">
        <w:rPr>
          <w:rFonts w:hAnsi="宋体"/>
          <w:sz w:val="24"/>
        </w:rPr>
        <w:t>小组，拟定工作大纲，进行任务分工。</w:t>
      </w:r>
    </w:p>
    <w:p w:rsidR="003C0BCA" w:rsidRDefault="003C0BCA" w:rsidP="003C0BCA">
      <w:pPr>
        <w:tabs>
          <w:tab w:val="left" w:pos="6120"/>
        </w:tabs>
        <w:spacing w:line="360" w:lineRule="auto"/>
        <w:rPr>
          <w:rFonts w:hAnsi="宋体"/>
          <w:sz w:val="24"/>
        </w:rPr>
      </w:pPr>
      <w:r w:rsidRPr="003C0BCA">
        <w:rPr>
          <w:sz w:val="24"/>
        </w:rPr>
        <w:t xml:space="preserve">    2014</w:t>
      </w:r>
      <w:r w:rsidRPr="003C0BCA">
        <w:rPr>
          <w:rFonts w:hAnsi="宋体" w:hint="eastAsia"/>
          <w:sz w:val="24"/>
        </w:rPr>
        <w:t>年</w:t>
      </w:r>
      <w:r w:rsidRPr="003C0BCA">
        <w:rPr>
          <w:sz w:val="24"/>
        </w:rPr>
        <w:t>5</w:t>
      </w:r>
      <w:r w:rsidRPr="003C0BCA">
        <w:rPr>
          <w:rFonts w:hAnsi="宋体" w:hint="eastAsia"/>
          <w:sz w:val="24"/>
        </w:rPr>
        <w:t>月</w:t>
      </w:r>
      <w:r w:rsidRPr="003C0BCA">
        <w:rPr>
          <w:sz w:val="24"/>
        </w:rPr>
        <w:t>-7</w:t>
      </w:r>
      <w:r w:rsidRPr="003C0BCA">
        <w:rPr>
          <w:rFonts w:hAnsi="宋体" w:hint="eastAsia"/>
          <w:sz w:val="24"/>
        </w:rPr>
        <w:t>月，为了做好采用国际标准</w:t>
      </w:r>
      <w:r w:rsidRPr="003C0BCA">
        <w:rPr>
          <w:sz w:val="24"/>
        </w:rPr>
        <w:t>ISO 125</w:t>
      </w:r>
      <w:r w:rsidR="00644AF2">
        <w:rPr>
          <w:rFonts w:hint="eastAsia"/>
          <w:sz w:val="24"/>
        </w:rPr>
        <w:t>：</w:t>
      </w:r>
      <w:r w:rsidRPr="003C0BCA">
        <w:rPr>
          <w:sz w:val="24"/>
        </w:rPr>
        <w:t>2011</w:t>
      </w:r>
      <w:r w:rsidRPr="003C0BCA">
        <w:rPr>
          <w:rFonts w:hAnsi="宋体" w:hint="eastAsia"/>
          <w:sz w:val="24"/>
        </w:rPr>
        <w:t>修订国家标准</w:t>
      </w:r>
      <w:r w:rsidRPr="003C0BCA">
        <w:rPr>
          <w:noProof/>
          <w:sz w:val="24"/>
        </w:rPr>
        <w:t>GB/T 8300-2008</w:t>
      </w:r>
      <w:r w:rsidRPr="003C0BCA">
        <w:rPr>
          <w:rFonts w:hAnsi="宋体" w:hint="eastAsia"/>
          <w:noProof/>
          <w:sz w:val="24"/>
        </w:rPr>
        <w:t>的工作，向全国橡胶与橡胶制品标准化技术委员会天然橡胶分技术委员会委员单位和相关单位，开展了</w:t>
      </w:r>
      <w:r w:rsidRPr="003C0BCA">
        <w:rPr>
          <w:noProof/>
          <w:sz w:val="24"/>
        </w:rPr>
        <w:t>GB/T 8300-2008</w:t>
      </w:r>
      <w:r w:rsidRPr="003C0BCA">
        <w:rPr>
          <w:rFonts w:hAnsi="宋体" w:hint="eastAsia"/>
          <w:noProof/>
          <w:sz w:val="24"/>
        </w:rPr>
        <w:t>的使用情况和碱度测定方法有关情况的调查</w:t>
      </w:r>
      <w:r w:rsidR="00DB6D4E">
        <w:rPr>
          <w:rFonts w:hAnsi="宋体" w:hint="eastAsia"/>
          <w:noProof/>
          <w:sz w:val="24"/>
        </w:rPr>
        <w:t>。</w:t>
      </w:r>
      <w:r w:rsidRPr="003C0BCA">
        <w:rPr>
          <w:noProof/>
          <w:sz w:val="24"/>
        </w:rPr>
        <w:t>2014</w:t>
      </w:r>
      <w:r w:rsidRPr="003C0BCA">
        <w:rPr>
          <w:rFonts w:hAnsi="宋体" w:hint="eastAsia"/>
          <w:noProof/>
          <w:sz w:val="24"/>
        </w:rPr>
        <w:t>年</w:t>
      </w:r>
      <w:r w:rsidRPr="003C0BCA">
        <w:rPr>
          <w:noProof/>
          <w:sz w:val="24"/>
        </w:rPr>
        <w:t>7</w:t>
      </w:r>
      <w:r w:rsidRPr="003C0BCA">
        <w:rPr>
          <w:rFonts w:hAnsi="宋体" w:hint="eastAsia"/>
          <w:noProof/>
          <w:sz w:val="24"/>
        </w:rPr>
        <w:t>月，</w:t>
      </w:r>
      <w:r w:rsidR="00644AF2">
        <w:rPr>
          <w:rFonts w:hAnsi="宋体" w:hint="eastAsia"/>
          <w:noProof/>
          <w:sz w:val="24"/>
        </w:rPr>
        <w:t>针对</w:t>
      </w:r>
      <w:r w:rsidR="00644AF2">
        <w:rPr>
          <w:rFonts w:hAnsi="宋体" w:hint="eastAsia"/>
          <w:noProof/>
          <w:sz w:val="24"/>
        </w:rPr>
        <w:t>ISO 125</w:t>
      </w:r>
      <w:r w:rsidR="00644AF2">
        <w:rPr>
          <w:rFonts w:hAnsi="宋体" w:hint="eastAsia"/>
          <w:noProof/>
          <w:sz w:val="24"/>
        </w:rPr>
        <w:t>：</w:t>
      </w:r>
      <w:r w:rsidR="00644AF2">
        <w:rPr>
          <w:rFonts w:hAnsi="宋体" w:hint="eastAsia"/>
          <w:noProof/>
          <w:sz w:val="24"/>
        </w:rPr>
        <w:t>2011</w:t>
      </w:r>
      <w:r w:rsidR="005548F4">
        <w:rPr>
          <w:rFonts w:hAnsi="宋体" w:hint="eastAsia"/>
          <w:noProof/>
          <w:sz w:val="24"/>
        </w:rPr>
        <w:t>在技术内容方面的修订</w:t>
      </w:r>
      <w:r w:rsidR="00644AF2">
        <w:rPr>
          <w:rFonts w:hAnsi="宋体" w:hint="eastAsia"/>
          <w:noProof/>
          <w:sz w:val="24"/>
        </w:rPr>
        <w:t>，</w:t>
      </w:r>
      <w:r w:rsidR="005548F4">
        <w:rPr>
          <w:rFonts w:hAnsi="宋体" w:hint="eastAsia"/>
          <w:noProof/>
          <w:sz w:val="24"/>
        </w:rPr>
        <w:t>我们进行</w:t>
      </w:r>
      <w:r w:rsidR="008471A5">
        <w:rPr>
          <w:rFonts w:hAnsi="宋体" w:hint="eastAsia"/>
          <w:noProof/>
          <w:sz w:val="24"/>
        </w:rPr>
        <w:t>了</w:t>
      </w:r>
      <w:r w:rsidR="00944C3D">
        <w:rPr>
          <w:rFonts w:hAnsi="宋体" w:hint="eastAsia"/>
          <w:noProof/>
          <w:sz w:val="24"/>
        </w:rPr>
        <w:t>甲基红</w:t>
      </w:r>
      <w:r w:rsidR="005548F4">
        <w:rPr>
          <w:rFonts w:hAnsi="宋体" w:hint="eastAsia"/>
          <w:noProof/>
          <w:sz w:val="24"/>
        </w:rPr>
        <w:t>用量</w:t>
      </w:r>
      <w:r w:rsidR="00944C3D">
        <w:rPr>
          <w:rFonts w:hAnsi="宋体" w:hint="eastAsia"/>
          <w:noProof/>
          <w:sz w:val="24"/>
        </w:rPr>
        <w:t>对滴定终点判定的</w:t>
      </w:r>
      <w:r w:rsidR="005548F4">
        <w:rPr>
          <w:rFonts w:hAnsi="宋体" w:hint="eastAsia"/>
          <w:noProof/>
          <w:sz w:val="24"/>
        </w:rPr>
        <w:t>验证试验；同时，</w:t>
      </w:r>
      <w:r w:rsidRPr="003C0BCA">
        <w:rPr>
          <w:rFonts w:hAnsi="宋体" w:hint="eastAsia"/>
          <w:sz w:val="24"/>
        </w:rPr>
        <w:t>委托国内</w:t>
      </w:r>
      <w:r w:rsidR="008471A5">
        <w:rPr>
          <w:rFonts w:hint="eastAsia"/>
          <w:sz w:val="24"/>
        </w:rPr>
        <w:t>4</w:t>
      </w:r>
      <w:r w:rsidRPr="003C0BCA">
        <w:rPr>
          <w:rFonts w:hAnsi="宋体" w:hint="eastAsia"/>
          <w:sz w:val="24"/>
        </w:rPr>
        <w:t>家专业检测机构</w:t>
      </w:r>
      <w:r w:rsidR="005548F4">
        <w:rPr>
          <w:rFonts w:hAnsi="宋体" w:hint="eastAsia"/>
          <w:sz w:val="24"/>
        </w:rPr>
        <w:t>针对</w:t>
      </w:r>
      <w:r w:rsidR="005548F4">
        <w:rPr>
          <w:rFonts w:hAnsi="宋体" w:hint="eastAsia"/>
          <w:sz w:val="24"/>
        </w:rPr>
        <w:t>ISO 125</w:t>
      </w:r>
      <w:r w:rsidR="00944C3D">
        <w:rPr>
          <w:rFonts w:hAnsi="宋体" w:hint="eastAsia"/>
          <w:sz w:val="24"/>
        </w:rPr>
        <w:t>：</w:t>
      </w:r>
      <w:r w:rsidR="005548F4">
        <w:rPr>
          <w:rFonts w:hAnsi="宋体" w:hint="eastAsia"/>
          <w:sz w:val="24"/>
        </w:rPr>
        <w:t>2011</w:t>
      </w:r>
      <w:r w:rsidR="005548F4">
        <w:rPr>
          <w:rFonts w:hAnsi="宋体" w:hint="eastAsia"/>
          <w:sz w:val="24"/>
        </w:rPr>
        <w:t>的精密度</w:t>
      </w:r>
      <w:r w:rsidRPr="003C0BCA">
        <w:rPr>
          <w:rFonts w:hAnsi="宋体" w:hint="eastAsia"/>
          <w:sz w:val="24"/>
        </w:rPr>
        <w:t>进行了</w:t>
      </w:r>
      <w:r w:rsidR="005548F4">
        <w:rPr>
          <w:rFonts w:hAnsi="宋体" w:hint="eastAsia"/>
          <w:sz w:val="24"/>
        </w:rPr>
        <w:t>验证</w:t>
      </w:r>
      <w:r w:rsidRPr="003C0BCA">
        <w:rPr>
          <w:rFonts w:hAnsi="宋体" w:hint="eastAsia"/>
          <w:sz w:val="24"/>
        </w:rPr>
        <w:t>试验，结果见表</w:t>
      </w:r>
      <w:r w:rsidRPr="003C0BCA">
        <w:rPr>
          <w:sz w:val="24"/>
        </w:rPr>
        <w:t>1</w:t>
      </w:r>
      <w:r w:rsidR="005548F4">
        <w:rPr>
          <w:rFonts w:hint="eastAsia"/>
          <w:sz w:val="24"/>
        </w:rPr>
        <w:t>和表</w:t>
      </w:r>
      <w:r w:rsidR="005548F4">
        <w:rPr>
          <w:rFonts w:hint="eastAsia"/>
          <w:sz w:val="24"/>
        </w:rPr>
        <w:t>2</w:t>
      </w:r>
      <w:r w:rsidR="008471A5">
        <w:rPr>
          <w:rFonts w:hAnsi="宋体" w:hint="eastAsia"/>
          <w:sz w:val="24"/>
        </w:rPr>
        <w:t>。</w:t>
      </w:r>
      <w:r w:rsidRPr="003C0BCA">
        <w:rPr>
          <w:rFonts w:hAnsi="宋体" w:hint="eastAsia"/>
          <w:sz w:val="24"/>
        </w:rPr>
        <w:t>由表</w:t>
      </w:r>
      <w:r w:rsidRPr="003C0BCA">
        <w:rPr>
          <w:sz w:val="24"/>
        </w:rPr>
        <w:t>1</w:t>
      </w:r>
      <w:r w:rsidRPr="003C0BCA">
        <w:rPr>
          <w:rFonts w:hAnsi="宋体" w:hint="eastAsia"/>
          <w:sz w:val="24"/>
        </w:rPr>
        <w:t>中数据可以看出，</w:t>
      </w:r>
      <w:r w:rsidR="008E2C07">
        <w:rPr>
          <w:rFonts w:hAnsi="宋体" w:hint="eastAsia"/>
          <w:sz w:val="24"/>
        </w:rPr>
        <w:t>显色滴定时甲基红的用量为</w:t>
      </w:r>
      <w:r w:rsidR="008E2C07">
        <w:rPr>
          <w:rFonts w:hAnsi="宋体" w:hint="eastAsia"/>
          <w:sz w:val="24"/>
        </w:rPr>
        <w:t>1</w:t>
      </w:r>
      <w:r w:rsidR="008E2C07">
        <w:rPr>
          <w:rFonts w:hAnsi="宋体" w:hint="eastAsia"/>
          <w:sz w:val="24"/>
        </w:rPr>
        <w:t>滴时，终点判定结果偏高，用量为</w:t>
      </w:r>
      <w:r w:rsidR="008E2C07">
        <w:rPr>
          <w:rFonts w:hAnsi="宋体" w:hint="eastAsia"/>
          <w:sz w:val="24"/>
        </w:rPr>
        <w:t>4</w:t>
      </w:r>
      <w:r w:rsidR="008E2C07">
        <w:rPr>
          <w:rFonts w:hAnsi="宋体" w:hint="eastAsia"/>
          <w:sz w:val="24"/>
        </w:rPr>
        <w:t>滴时，测得结果与</w:t>
      </w:r>
      <w:r w:rsidR="008E2C07">
        <w:rPr>
          <w:rFonts w:hAnsi="宋体" w:hint="eastAsia"/>
          <w:sz w:val="24"/>
        </w:rPr>
        <w:t>2</w:t>
      </w:r>
      <w:r w:rsidR="008E2C07">
        <w:rPr>
          <w:rFonts w:hAnsi="宋体" w:hint="eastAsia"/>
          <w:sz w:val="24"/>
        </w:rPr>
        <w:t>或</w:t>
      </w:r>
      <w:r w:rsidR="008E2C07">
        <w:rPr>
          <w:rFonts w:hAnsi="宋体" w:hint="eastAsia"/>
          <w:sz w:val="24"/>
        </w:rPr>
        <w:t>3</w:t>
      </w:r>
      <w:r w:rsidR="008E2C07">
        <w:rPr>
          <w:rFonts w:hAnsi="宋体" w:hint="eastAsia"/>
          <w:sz w:val="24"/>
        </w:rPr>
        <w:t>滴无差异，因此，甲基红用量为</w:t>
      </w:r>
      <w:r w:rsidR="008E2C07">
        <w:rPr>
          <w:rFonts w:hAnsi="宋体" w:hint="eastAsia"/>
          <w:sz w:val="24"/>
        </w:rPr>
        <w:t>2~3</w:t>
      </w:r>
      <w:r w:rsidR="008E2C07">
        <w:rPr>
          <w:rFonts w:hAnsi="宋体" w:hint="eastAsia"/>
          <w:sz w:val="24"/>
        </w:rPr>
        <w:t>滴最合适。由表</w:t>
      </w:r>
      <w:r w:rsidR="008E2C07">
        <w:rPr>
          <w:rFonts w:hAnsi="宋体" w:hint="eastAsia"/>
          <w:sz w:val="24"/>
        </w:rPr>
        <w:t>2</w:t>
      </w:r>
      <w:r w:rsidR="008E2C07">
        <w:rPr>
          <w:rFonts w:hAnsi="宋体" w:hint="eastAsia"/>
          <w:sz w:val="24"/>
        </w:rPr>
        <w:t>可知，</w:t>
      </w:r>
      <w:r w:rsidRPr="003C0BCA">
        <w:rPr>
          <w:rFonts w:hAnsi="宋体" w:hint="eastAsia"/>
          <w:sz w:val="24"/>
        </w:rPr>
        <w:t>测定结果的重复性和再现性都达到了标准中的要求。</w:t>
      </w:r>
      <w:r w:rsidRPr="003C0BCA">
        <w:rPr>
          <w:rFonts w:hAnsi="宋体"/>
          <w:sz w:val="24"/>
        </w:rPr>
        <w:t>在上述工作的基础上，经过综合分析，确定了本标准修订后的征求意见稿</w:t>
      </w:r>
      <w:r w:rsidRPr="003C0BCA">
        <w:rPr>
          <w:rFonts w:hAnsi="宋体" w:hint="eastAsia"/>
          <w:sz w:val="24"/>
        </w:rPr>
        <w:t>。</w:t>
      </w:r>
    </w:p>
    <w:p w:rsidR="008E359E" w:rsidRDefault="003A6D5A">
      <w:pPr>
        <w:jc w:val="center"/>
        <w:rPr>
          <w:rFonts w:ascii="宋体" w:hAnsi="宋体"/>
          <w:szCs w:val="21"/>
        </w:rPr>
      </w:pPr>
      <w:r w:rsidRPr="003A6D5A">
        <w:rPr>
          <w:rFonts w:ascii="宋体" w:hAnsi="宋体" w:hint="eastAsia"/>
          <w:szCs w:val="21"/>
        </w:rPr>
        <w:t>表</w:t>
      </w:r>
      <w:r w:rsidRPr="003A6D5A">
        <w:rPr>
          <w:rFonts w:ascii="宋体" w:hAnsi="宋体"/>
          <w:szCs w:val="21"/>
        </w:rPr>
        <w:t>1</w:t>
      </w:r>
      <w:r w:rsidRPr="003A6D5A">
        <w:rPr>
          <w:rFonts w:ascii="宋体" w:hAnsi="宋体" w:hint="eastAsia"/>
          <w:szCs w:val="21"/>
        </w:rPr>
        <w:t>显色滴定终点验证试验</w:t>
      </w:r>
    </w:p>
    <w:tbl>
      <w:tblPr>
        <w:tblStyle w:val="a5"/>
        <w:tblW w:w="0" w:type="auto"/>
        <w:jc w:val="center"/>
        <w:tblLook w:val="04A0"/>
      </w:tblPr>
      <w:tblGrid>
        <w:gridCol w:w="3095"/>
        <w:gridCol w:w="3096"/>
      </w:tblGrid>
      <w:tr w:rsidR="008E2C07" w:rsidRPr="00003690" w:rsidTr="008E2C07">
        <w:trPr>
          <w:jc w:val="center"/>
        </w:trPr>
        <w:tc>
          <w:tcPr>
            <w:tcW w:w="3095" w:type="dxa"/>
            <w:vAlign w:val="center"/>
          </w:tcPr>
          <w:p w:rsidR="00000000" w:rsidRDefault="008E2C07">
            <w:pPr>
              <w:jc w:val="center"/>
              <w:rPr>
                <w:rFonts w:ascii="宋体" w:hAnsi="宋体"/>
                <w:szCs w:val="21"/>
              </w:rPr>
            </w:pPr>
            <w:r w:rsidRPr="003A6D5A">
              <w:rPr>
                <w:rFonts w:ascii="宋体" w:hAnsi="宋体" w:hint="eastAsia"/>
                <w:szCs w:val="21"/>
              </w:rPr>
              <w:t>甲基红用量</w:t>
            </w:r>
            <w:r w:rsidRPr="003A6D5A">
              <w:rPr>
                <w:rFonts w:ascii="宋体" w:hAnsi="宋体"/>
                <w:szCs w:val="21"/>
              </w:rPr>
              <w:t>/滴</w:t>
            </w:r>
          </w:p>
        </w:tc>
        <w:tc>
          <w:tcPr>
            <w:tcW w:w="3096" w:type="dxa"/>
            <w:vAlign w:val="center"/>
          </w:tcPr>
          <w:p w:rsidR="00000000" w:rsidRDefault="008E2C07">
            <w:pPr>
              <w:jc w:val="center"/>
              <w:rPr>
                <w:rFonts w:ascii="宋体" w:hAnsi="宋体"/>
                <w:szCs w:val="21"/>
              </w:rPr>
            </w:pPr>
            <w:r w:rsidRPr="003A6D5A">
              <w:rPr>
                <w:rFonts w:ascii="宋体" w:hAnsi="宋体" w:hint="eastAsia"/>
                <w:szCs w:val="21"/>
              </w:rPr>
              <w:t>碱度</w:t>
            </w:r>
          </w:p>
        </w:tc>
      </w:tr>
      <w:tr w:rsidR="008E2C07" w:rsidRPr="00003690" w:rsidTr="008E2C07">
        <w:trPr>
          <w:jc w:val="center"/>
        </w:trPr>
        <w:tc>
          <w:tcPr>
            <w:tcW w:w="3095" w:type="dxa"/>
            <w:vAlign w:val="center"/>
          </w:tcPr>
          <w:p w:rsidR="00000000" w:rsidRDefault="008E2C07">
            <w:pPr>
              <w:jc w:val="center"/>
              <w:rPr>
                <w:rFonts w:ascii="宋体" w:hAnsi="宋体"/>
                <w:szCs w:val="21"/>
              </w:rPr>
            </w:pPr>
            <w:r w:rsidRPr="003A6D5A">
              <w:rPr>
                <w:rFonts w:ascii="宋体" w:hAnsi="宋体"/>
                <w:szCs w:val="21"/>
              </w:rPr>
              <w:t>1</w:t>
            </w:r>
          </w:p>
        </w:tc>
        <w:tc>
          <w:tcPr>
            <w:tcW w:w="3096" w:type="dxa"/>
            <w:vAlign w:val="center"/>
          </w:tcPr>
          <w:p w:rsidR="00000000" w:rsidRDefault="008E2C07">
            <w:pPr>
              <w:jc w:val="center"/>
              <w:rPr>
                <w:rFonts w:ascii="宋体" w:hAnsi="宋体"/>
                <w:szCs w:val="21"/>
              </w:rPr>
            </w:pPr>
            <w:r>
              <w:rPr>
                <w:rFonts w:ascii="宋体" w:hAnsi="宋体" w:hint="eastAsia"/>
                <w:szCs w:val="21"/>
              </w:rPr>
              <w:t>0.411</w:t>
            </w:r>
          </w:p>
        </w:tc>
      </w:tr>
      <w:tr w:rsidR="008E2C07" w:rsidRPr="00003690" w:rsidTr="008E2C07">
        <w:trPr>
          <w:jc w:val="center"/>
        </w:trPr>
        <w:tc>
          <w:tcPr>
            <w:tcW w:w="3095" w:type="dxa"/>
            <w:vAlign w:val="center"/>
          </w:tcPr>
          <w:p w:rsidR="00000000" w:rsidRDefault="008E2C07">
            <w:pPr>
              <w:jc w:val="center"/>
              <w:rPr>
                <w:rFonts w:ascii="宋体" w:hAnsi="宋体"/>
                <w:szCs w:val="21"/>
              </w:rPr>
            </w:pPr>
            <w:r w:rsidRPr="003A6D5A">
              <w:rPr>
                <w:rFonts w:ascii="宋体" w:hAnsi="宋体"/>
                <w:szCs w:val="21"/>
              </w:rPr>
              <w:t>2</w:t>
            </w:r>
          </w:p>
        </w:tc>
        <w:tc>
          <w:tcPr>
            <w:tcW w:w="3096" w:type="dxa"/>
            <w:vAlign w:val="center"/>
          </w:tcPr>
          <w:p w:rsidR="00000000" w:rsidRDefault="008E2C07">
            <w:pPr>
              <w:jc w:val="center"/>
              <w:rPr>
                <w:rFonts w:ascii="宋体" w:hAnsi="宋体"/>
                <w:szCs w:val="21"/>
              </w:rPr>
            </w:pPr>
            <w:r>
              <w:rPr>
                <w:rFonts w:ascii="宋体" w:hAnsi="宋体" w:hint="eastAsia"/>
                <w:szCs w:val="21"/>
              </w:rPr>
              <w:t>0.408</w:t>
            </w:r>
          </w:p>
        </w:tc>
      </w:tr>
      <w:tr w:rsidR="008E2C07" w:rsidRPr="00003690" w:rsidTr="008E2C07">
        <w:trPr>
          <w:jc w:val="center"/>
        </w:trPr>
        <w:tc>
          <w:tcPr>
            <w:tcW w:w="3095" w:type="dxa"/>
            <w:vAlign w:val="center"/>
          </w:tcPr>
          <w:p w:rsidR="00000000" w:rsidRDefault="008E2C07">
            <w:pPr>
              <w:jc w:val="center"/>
              <w:rPr>
                <w:rFonts w:ascii="宋体" w:hAnsi="宋体"/>
                <w:szCs w:val="21"/>
              </w:rPr>
            </w:pPr>
            <w:r w:rsidRPr="003A6D5A">
              <w:rPr>
                <w:rFonts w:ascii="宋体" w:hAnsi="宋体"/>
                <w:szCs w:val="21"/>
              </w:rPr>
              <w:lastRenderedPageBreak/>
              <w:t>3</w:t>
            </w:r>
          </w:p>
        </w:tc>
        <w:tc>
          <w:tcPr>
            <w:tcW w:w="3096" w:type="dxa"/>
            <w:vAlign w:val="center"/>
          </w:tcPr>
          <w:p w:rsidR="00000000" w:rsidRDefault="008E2C07">
            <w:pPr>
              <w:jc w:val="center"/>
              <w:rPr>
                <w:rFonts w:ascii="宋体" w:hAnsi="宋体"/>
                <w:szCs w:val="21"/>
              </w:rPr>
            </w:pPr>
            <w:r>
              <w:rPr>
                <w:rFonts w:ascii="宋体" w:hAnsi="宋体" w:hint="eastAsia"/>
                <w:szCs w:val="21"/>
              </w:rPr>
              <w:t>0.407</w:t>
            </w:r>
          </w:p>
        </w:tc>
      </w:tr>
      <w:tr w:rsidR="008E2C07" w:rsidRPr="00003690" w:rsidTr="008E2C07">
        <w:trPr>
          <w:jc w:val="center"/>
        </w:trPr>
        <w:tc>
          <w:tcPr>
            <w:tcW w:w="3095" w:type="dxa"/>
            <w:vAlign w:val="center"/>
          </w:tcPr>
          <w:p w:rsidR="00000000" w:rsidRDefault="008E2C07">
            <w:pPr>
              <w:jc w:val="center"/>
              <w:rPr>
                <w:rFonts w:ascii="宋体" w:hAnsi="宋体"/>
                <w:szCs w:val="21"/>
              </w:rPr>
            </w:pPr>
            <w:r w:rsidRPr="003A6D5A">
              <w:rPr>
                <w:rFonts w:ascii="宋体" w:hAnsi="宋体"/>
                <w:szCs w:val="21"/>
              </w:rPr>
              <w:t>4</w:t>
            </w:r>
          </w:p>
        </w:tc>
        <w:tc>
          <w:tcPr>
            <w:tcW w:w="3096" w:type="dxa"/>
            <w:vAlign w:val="center"/>
          </w:tcPr>
          <w:p w:rsidR="00000000" w:rsidRDefault="008E2C07">
            <w:pPr>
              <w:jc w:val="center"/>
              <w:rPr>
                <w:rFonts w:ascii="宋体" w:hAnsi="宋体"/>
                <w:szCs w:val="21"/>
              </w:rPr>
            </w:pPr>
            <w:r>
              <w:rPr>
                <w:rFonts w:ascii="宋体" w:hAnsi="宋体" w:hint="eastAsia"/>
                <w:szCs w:val="21"/>
              </w:rPr>
              <w:t>0.408</w:t>
            </w:r>
          </w:p>
        </w:tc>
      </w:tr>
    </w:tbl>
    <w:p w:rsidR="008471A5" w:rsidRDefault="008471A5" w:rsidP="00333D3D">
      <w:pPr>
        <w:rPr>
          <w:rFonts w:ascii="宋体" w:hAnsi="宋体"/>
          <w:sz w:val="24"/>
        </w:rPr>
      </w:pPr>
    </w:p>
    <w:p w:rsidR="00333D3D" w:rsidRDefault="00333D3D" w:rsidP="00333D3D">
      <w:pPr>
        <w:spacing w:line="360" w:lineRule="auto"/>
        <w:jc w:val="center"/>
      </w:pPr>
      <w:r>
        <w:rPr>
          <w:rFonts w:hint="eastAsia"/>
        </w:rPr>
        <w:t>表</w:t>
      </w:r>
      <w:r w:rsidR="008471A5">
        <w:rPr>
          <w:rFonts w:hint="eastAsia"/>
        </w:rPr>
        <w:t xml:space="preserve">2 </w:t>
      </w:r>
      <w:r w:rsidR="008471A5">
        <w:rPr>
          <w:rFonts w:hint="eastAsia"/>
        </w:rPr>
        <w:t>精密度验证试验结果</w:t>
      </w:r>
    </w:p>
    <w:tbl>
      <w:tblPr>
        <w:tblStyle w:val="a5"/>
        <w:tblW w:w="5000" w:type="pct"/>
        <w:tblLook w:val="04A0"/>
      </w:tblPr>
      <w:tblGrid>
        <w:gridCol w:w="1670"/>
        <w:gridCol w:w="1415"/>
        <w:gridCol w:w="1985"/>
        <w:gridCol w:w="709"/>
        <w:gridCol w:w="851"/>
        <w:gridCol w:w="940"/>
        <w:gridCol w:w="860"/>
        <w:gridCol w:w="856"/>
      </w:tblGrid>
      <w:tr w:rsidR="00333D3D" w:rsidTr="00E117D6">
        <w:trPr>
          <w:trHeight w:val="137"/>
        </w:trPr>
        <w:tc>
          <w:tcPr>
            <w:tcW w:w="2730" w:type="pct"/>
            <w:gridSpan w:val="3"/>
            <w:vMerge w:val="restart"/>
            <w:vAlign w:val="center"/>
          </w:tcPr>
          <w:p w:rsidR="00333D3D" w:rsidRDefault="00333D3D" w:rsidP="00E117D6">
            <w:pPr>
              <w:spacing w:line="360" w:lineRule="auto"/>
              <w:jc w:val="center"/>
            </w:pPr>
            <w:r>
              <w:rPr>
                <w:rFonts w:hint="eastAsia"/>
              </w:rPr>
              <w:t>测定单位</w:t>
            </w:r>
          </w:p>
        </w:tc>
        <w:tc>
          <w:tcPr>
            <w:tcW w:w="382" w:type="pct"/>
            <w:vMerge w:val="restart"/>
            <w:vAlign w:val="center"/>
          </w:tcPr>
          <w:p w:rsidR="00333D3D" w:rsidRDefault="00333D3D" w:rsidP="00E117D6">
            <w:pPr>
              <w:spacing w:line="360" w:lineRule="auto"/>
              <w:jc w:val="center"/>
            </w:pPr>
            <w:r>
              <w:rPr>
                <w:rFonts w:hint="eastAsia"/>
              </w:rPr>
              <w:t>1</w:t>
            </w:r>
          </w:p>
        </w:tc>
        <w:tc>
          <w:tcPr>
            <w:tcW w:w="458" w:type="pct"/>
            <w:vMerge w:val="restart"/>
            <w:vAlign w:val="center"/>
          </w:tcPr>
          <w:p w:rsidR="00333D3D" w:rsidRDefault="00333D3D" w:rsidP="00E117D6">
            <w:pPr>
              <w:spacing w:line="360" w:lineRule="auto"/>
              <w:jc w:val="center"/>
            </w:pPr>
            <w:r>
              <w:rPr>
                <w:rFonts w:hint="eastAsia"/>
              </w:rPr>
              <w:t>2</w:t>
            </w:r>
          </w:p>
        </w:tc>
        <w:tc>
          <w:tcPr>
            <w:tcW w:w="506" w:type="pct"/>
            <w:vMerge w:val="restart"/>
            <w:vAlign w:val="center"/>
          </w:tcPr>
          <w:p w:rsidR="00333D3D" w:rsidRDefault="00333D3D" w:rsidP="00E117D6">
            <w:pPr>
              <w:spacing w:line="360" w:lineRule="auto"/>
              <w:jc w:val="center"/>
            </w:pPr>
            <w:r>
              <w:rPr>
                <w:rFonts w:hint="eastAsia"/>
              </w:rPr>
              <w:t>平均值</w:t>
            </w:r>
          </w:p>
        </w:tc>
        <w:tc>
          <w:tcPr>
            <w:tcW w:w="925" w:type="pct"/>
            <w:gridSpan w:val="2"/>
            <w:vAlign w:val="center"/>
          </w:tcPr>
          <w:p w:rsidR="00333D3D" w:rsidRDefault="00333D3D" w:rsidP="00E117D6">
            <w:pPr>
              <w:spacing w:line="360" w:lineRule="auto"/>
              <w:jc w:val="center"/>
            </w:pPr>
            <w:r>
              <w:rPr>
                <w:rFonts w:hint="eastAsia"/>
              </w:rPr>
              <w:t>实验室内</w:t>
            </w:r>
          </w:p>
        </w:tc>
      </w:tr>
      <w:tr w:rsidR="00333D3D" w:rsidTr="00E117D6">
        <w:trPr>
          <w:trHeight w:val="137"/>
        </w:trPr>
        <w:tc>
          <w:tcPr>
            <w:tcW w:w="2730" w:type="pct"/>
            <w:gridSpan w:val="3"/>
            <w:vMerge/>
            <w:vAlign w:val="center"/>
          </w:tcPr>
          <w:p w:rsidR="00333D3D" w:rsidRDefault="00333D3D" w:rsidP="00E117D6">
            <w:pPr>
              <w:spacing w:line="360" w:lineRule="auto"/>
              <w:jc w:val="center"/>
            </w:pPr>
          </w:p>
        </w:tc>
        <w:tc>
          <w:tcPr>
            <w:tcW w:w="382" w:type="pct"/>
            <w:vMerge/>
            <w:vAlign w:val="center"/>
          </w:tcPr>
          <w:p w:rsidR="00333D3D" w:rsidRDefault="00333D3D" w:rsidP="00E117D6">
            <w:pPr>
              <w:spacing w:line="360" w:lineRule="auto"/>
              <w:jc w:val="center"/>
            </w:pPr>
          </w:p>
        </w:tc>
        <w:tc>
          <w:tcPr>
            <w:tcW w:w="458" w:type="pct"/>
            <w:vMerge/>
            <w:vAlign w:val="center"/>
          </w:tcPr>
          <w:p w:rsidR="00333D3D" w:rsidRDefault="00333D3D" w:rsidP="00E117D6">
            <w:pPr>
              <w:spacing w:line="360" w:lineRule="auto"/>
              <w:jc w:val="center"/>
            </w:pPr>
          </w:p>
        </w:tc>
        <w:tc>
          <w:tcPr>
            <w:tcW w:w="506" w:type="pct"/>
            <w:vMerge/>
            <w:vAlign w:val="center"/>
          </w:tcPr>
          <w:p w:rsidR="00333D3D" w:rsidRDefault="00333D3D" w:rsidP="00E117D6">
            <w:pPr>
              <w:spacing w:line="360" w:lineRule="auto"/>
              <w:jc w:val="center"/>
            </w:pPr>
          </w:p>
        </w:tc>
        <w:tc>
          <w:tcPr>
            <w:tcW w:w="463" w:type="pct"/>
            <w:vAlign w:val="center"/>
          </w:tcPr>
          <w:p w:rsidR="00333D3D" w:rsidRDefault="00333D3D" w:rsidP="00E117D6">
            <w:pPr>
              <w:spacing w:line="360" w:lineRule="auto"/>
              <w:jc w:val="center"/>
            </w:pPr>
            <w:r w:rsidRPr="00182E65">
              <w:rPr>
                <w:rFonts w:ascii="宋体" w:hAnsi="宋体" w:hint="eastAsia"/>
                <w:szCs w:val="21"/>
              </w:rPr>
              <w:t>Sr</w:t>
            </w:r>
          </w:p>
        </w:tc>
        <w:tc>
          <w:tcPr>
            <w:tcW w:w="462" w:type="pct"/>
            <w:vAlign w:val="center"/>
          </w:tcPr>
          <w:p w:rsidR="00333D3D" w:rsidRDefault="00333D3D" w:rsidP="00E117D6">
            <w:pPr>
              <w:spacing w:line="360" w:lineRule="auto"/>
              <w:jc w:val="center"/>
            </w:pPr>
            <w:r w:rsidRPr="00182E65">
              <w:rPr>
                <w:rFonts w:ascii="宋体" w:hAnsi="宋体" w:hint="eastAsia"/>
                <w:szCs w:val="21"/>
              </w:rPr>
              <w:t>r</w:t>
            </w:r>
          </w:p>
        </w:tc>
      </w:tr>
      <w:tr w:rsidR="00333D3D" w:rsidTr="00E117D6">
        <w:tc>
          <w:tcPr>
            <w:tcW w:w="2730" w:type="pct"/>
            <w:gridSpan w:val="3"/>
            <w:vAlign w:val="center"/>
          </w:tcPr>
          <w:p w:rsidR="00333D3D" w:rsidRDefault="00333D3D" w:rsidP="00E117D6">
            <w:pPr>
              <w:spacing w:line="360" w:lineRule="auto"/>
              <w:jc w:val="center"/>
            </w:pPr>
            <w:r w:rsidRPr="004E045A">
              <w:rPr>
                <w:rFonts w:ascii="宋体" w:hAnsi="宋体" w:hint="eastAsia"/>
                <w:szCs w:val="21"/>
              </w:rPr>
              <w:t>中国热带农业科学院农产品加工研究所分析测试中心</w:t>
            </w:r>
          </w:p>
        </w:tc>
        <w:tc>
          <w:tcPr>
            <w:tcW w:w="382" w:type="pct"/>
            <w:vAlign w:val="center"/>
          </w:tcPr>
          <w:p w:rsidR="00333D3D" w:rsidRDefault="00333D3D" w:rsidP="00E117D6">
            <w:pPr>
              <w:spacing w:line="360" w:lineRule="auto"/>
              <w:jc w:val="center"/>
            </w:pPr>
            <w:r>
              <w:rPr>
                <w:rFonts w:hint="eastAsia"/>
              </w:rPr>
              <w:t>0.602</w:t>
            </w:r>
          </w:p>
        </w:tc>
        <w:tc>
          <w:tcPr>
            <w:tcW w:w="458" w:type="pct"/>
            <w:vAlign w:val="center"/>
          </w:tcPr>
          <w:p w:rsidR="00333D3D" w:rsidRDefault="00333D3D" w:rsidP="00E117D6">
            <w:pPr>
              <w:spacing w:line="360" w:lineRule="auto"/>
              <w:jc w:val="center"/>
            </w:pPr>
            <w:r>
              <w:rPr>
                <w:rFonts w:hint="eastAsia"/>
              </w:rPr>
              <w:t>0.603</w:t>
            </w:r>
          </w:p>
        </w:tc>
        <w:tc>
          <w:tcPr>
            <w:tcW w:w="506" w:type="pct"/>
            <w:vAlign w:val="center"/>
          </w:tcPr>
          <w:p w:rsidR="00333D3D" w:rsidRDefault="00333D3D" w:rsidP="00E117D6">
            <w:pPr>
              <w:spacing w:line="360" w:lineRule="auto"/>
              <w:jc w:val="center"/>
            </w:pPr>
            <w:r>
              <w:rPr>
                <w:rFonts w:hint="eastAsia"/>
              </w:rPr>
              <w:t>0.603</w:t>
            </w:r>
          </w:p>
        </w:tc>
        <w:tc>
          <w:tcPr>
            <w:tcW w:w="463" w:type="pct"/>
            <w:vAlign w:val="center"/>
          </w:tcPr>
          <w:p w:rsidR="00333D3D" w:rsidRDefault="00333D3D" w:rsidP="00E117D6">
            <w:pPr>
              <w:spacing w:line="360" w:lineRule="auto"/>
              <w:jc w:val="center"/>
            </w:pPr>
            <w:r>
              <w:rPr>
                <w:rFonts w:hint="eastAsia"/>
              </w:rPr>
              <w:t>0.0007</w:t>
            </w:r>
          </w:p>
        </w:tc>
        <w:tc>
          <w:tcPr>
            <w:tcW w:w="462" w:type="pct"/>
            <w:vAlign w:val="center"/>
          </w:tcPr>
          <w:p w:rsidR="00333D3D" w:rsidRDefault="00333D3D" w:rsidP="00E117D6">
            <w:pPr>
              <w:spacing w:line="360" w:lineRule="auto"/>
              <w:jc w:val="center"/>
            </w:pPr>
            <w:r>
              <w:rPr>
                <w:rFonts w:hint="eastAsia"/>
              </w:rPr>
              <w:t>0.0020</w:t>
            </w:r>
          </w:p>
        </w:tc>
      </w:tr>
      <w:tr w:rsidR="00333D3D" w:rsidTr="00E117D6">
        <w:tc>
          <w:tcPr>
            <w:tcW w:w="2730" w:type="pct"/>
            <w:gridSpan w:val="3"/>
            <w:vAlign w:val="center"/>
          </w:tcPr>
          <w:p w:rsidR="00333D3D" w:rsidRDefault="00333D3D" w:rsidP="00E117D6">
            <w:pPr>
              <w:spacing w:line="360" w:lineRule="auto"/>
              <w:jc w:val="center"/>
            </w:pPr>
            <w:r w:rsidRPr="004E045A">
              <w:rPr>
                <w:rFonts w:ascii="宋体" w:hAnsi="宋体" w:hint="eastAsia"/>
                <w:szCs w:val="21"/>
              </w:rPr>
              <w:t>广东省广垦橡胶集团有限公司茂名分公司</w:t>
            </w:r>
          </w:p>
        </w:tc>
        <w:tc>
          <w:tcPr>
            <w:tcW w:w="382" w:type="pct"/>
            <w:vAlign w:val="center"/>
          </w:tcPr>
          <w:p w:rsidR="00333D3D" w:rsidRDefault="00333D3D" w:rsidP="00E117D6">
            <w:pPr>
              <w:spacing w:line="360" w:lineRule="auto"/>
              <w:jc w:val="center"/>
            </w:pPr>
            <w:r>
              <w:rPr>
                <w:rFonts w:hint="eastAsia"/>
              </w:rPr>
              <w:t>0.599</w:t>
            </w:r>
          </w:p>
        </w:tc>
        <w:tc>
          <w:tcPr>
            <w:tcW w:w="458" w:type="pct"/>
            <w:vAlign w:val="center"/>
          </w:tcPr>
          <w:p w:rsidR="00333D3D" w:rsidRDefault="00333D3D" w:rsidP="00E117D6">
            <w:pPr>
              <w:spacing w:line="360" w:lineRule="auto"/>
              <w:jc w:val="center"/>
            </w:pPr>
            <w:r>
              <w:rPr>
                <w:rFonts w:hint="eastAsia"/>
              </w:rPr>
              <w:t>0.595</w:t>
            </w:r>
          </w:p>
        </w:tc>
        <w:tc>
          <w:tcPr>
            <w:tcW w:w="506" w:type="pct"/>
            <w:vAlign w:val="center"/>
          </w:tcPr>
          <w:p w:rsidR="00333D3D" w:rsidRDefault="00333D3D" w:rsidP="00E117D6">
            <w:pPr>
              <w:spacing w:line="360" w:lineRule="auto"/>
              <w:jc w:val="center"/>
            </w:pPr>
            <w:r>
              <w:rPr>
                <w:rFonts w:hint="eastAsia"/>
              </w:rPr>
              <w:t>0.597</w:t>
            </w:r>
          </w:p>
        </w:tc>
        <w:tc>
          <w:tcPr>
            <w:tcW w:w="463" w:type="pct"/>
            <w:vAlign w:val="center"/>
          </w:tcPr>
          <w:p w:rsidR="00333D3D" w:rsidRDefault="00333D3D" w:rsidP="00E117D6">
            <w:pPr>
              <w:spacing w:line="360" w:lineRule="auto"/>
              <w:jc w:val="center"/>
            </w:pPr>
            <w:r>
              <w:rPr>
                <w:rFonts w:hint="eastAsia"/>
              </w:rPr>
              <w:t>0.0026</w:t>
            </w:r>
          </w:p>
        </w:tc>
        <w:tc>
          <w:tcPr>
            <w:tcW w:w="462" w:type="pct"/>
            <w:vAlign w:val="center"/>
          </w:tcPr>
          <w:p w:rsidR="00333D3D" w:rsidRDefault="00333D3D" w:rsidP="00E117D6">
            <w:pPr>
              <w:spacing w:line="360" w:lineRule="auto"/>
              <w:jc w:val="center"/>
            </w:pPr>
            <w:r>
              <w:rPr>
                <w:rFonts w:hint="eastAsia"/>
              </w:rPr>
              <w:t>0.0075</w:t>
            </w:r>
          </w:p>
        </w:tc>
      </w:tr>
      <w:tr w:rsidR="00333D3D" w:rsidTr="00E117D6">
        <w:tc>
          <w:tcPr>
            <w:tcW w:w="2730" w:type="pct"/>
            <w:gridSpan w:val="3"/>
            <w:vAlign w:val="center"/>
          </w:tcPr>
          <w:p w:rsidR="00333D3D" w:rsidRDefault="00333D3D" w:rsidP="00E117D6">
            <w:pPr>
              <w:spacing w:line="360" w:lineRule="auto"/>
              <w:jc w:val="center"/>
            </w:pPr>
            <w:r w:rsidRPr="004E045A">
              <w:rPr>
                <w:rFonts w:ascii="宋体" w:hAnsi="宋体" w:hint="eastAsia"/>
                <w:szCs w:val="21"/>
              </w:rPr>
              <w:t>海南天然橡胶产业集团股份有限公司</w:t>
            </w:r>
          </w:p>
        </w:tc>
        <w:tc>
          <w:tcPr>
            <w:tcW w:w="382" w:type="pct"/>
            <w:vAlign w:val="center"/>
          </w:tcPr>
          <w:p w:rsidR="00333D3D" w:rsidRDefault="00333D3D" w:rsidP="00E117D6">
            <w:pPr>
              <w:spacing w:line="360" w:lineRule="auto"/>
              <w:jc w:val="center"/>
            </w:pPr>
            <w:r>
              <w:rPr>
                <w:rFonts w:hint="eastAsia"/>
              </w:rPr>
              <w:t>0.610</w:t>
            </w:r>
          </w:p>
        </w:tc>
        <w:tc>
          <w:tcPr>
            <w:tcW w:w="458" w:type="pct"/>
            <w:vAlign w:val="center"/>
          </w:tcPr>
          <w:p w:rsidR="00333D3D" w:rsidRDefault="00333D3D" w:rsidP="00E117D6">
            <w:pPr>
              <w:spacing w:line="360" w:lineRule="auto"/>
              <w:jc w:val="center"/>
            </w:pPr>
            <w:r>
              <w:rPr>
                <w:rFonts w:hint="eastAsia"/>
              </w:rPr>
              <w:t>0.600</w:t>
            </w:r>
          </w:p>
        </w:tc>
        <w:tc>
          <w:tcPr>
            <w:tcW w:w="506" w:type="pct"/>
            <w:vAlign w:val="center"/>
          </w:tcPr>
          <w:p w:rsidR="00333D3D" w:rsidRDefault="00333D3D" w:rsidP="00E117D6">
            <w:pPr>
              <w:spacing w:line="360" w:lineRule="auto"/>
              <w:jc w:val="center"/>
            </w:pPr>
            <w:r>
              <w:rPr>
                <w:rFonts w:hint="eastAsia"/>
              </w:rPr>
              <w:t>0.605</w:t>
            </w:r>
          </w:p>
        </w:tc>
        <w:tc>
          <w:tcPr>
            <w:tcW w:w="463" w:type="pct"/>
            <w:vAlign w:val="center"/>
          </w:tcPr>
          <w:p w:rsidR="00333D3D" w:rsidRDefault="00333D3D" w:rsidP="00E117D6">
            <w:pPr>
              <w:spacing w:line="360" w:lineRule="auto"/>
              <w:jc w:val="center"/>
            </w:pPr>
            <w:r>
              <w:rPr>
                <w:rFonts w:hint="eastAsia"/>
              </w:rPr>
              <w:t>0.0070</w:t>
            </w:r>
          </w:p>
        </w:tc>
        <w:tc>
          <w:tcPr>
            <w:tcW w:w="462" w:type="pct"/>
            <w:vAlign w:val="center"/>
          </w:tcPr>
          <w:p w:rsidR="00333D3D" w:rsidRDefault="00333D3D" w:rsidP="00E117D6">
            <w:pPr>
              <w:spacing w:line="360" w:lineRule="auto"/>
              <w:jc w:val="center"/>
            </w:pPr>
            <w:r>
              <w:rPr>
                <w:rFonts w:hint="eastAsia"/>
              </w:rPr>
              <w:t>0.0200</w:t>
            </w:r>
          </w:p>
        </w:tc>
      </w:tr>
      <w:tr w:rsidR="00333D3D" w:rsidTr="00E117D6">
        <w:tc>
          <w:tcPr>
            <w:tcW w:w="2730" w:type="pct"/>
            <w:gridSpan w:val="3"/>
            <w:vAlign w:val="center"/>
          </w:tcPr>
          <w:p w:rsidR="00333D3D" w:rsidRDefault="00333D3D" w:rsidP="00E117D6">
            <w:pPr>
              <w:spacing w:line="360" w:lineRule="auto"/>
              <w:jc w:val="center"/>
              <w:rPr>
                <w:rFonts w:ascii="宋体" w:hAnsi="宋体"/>
                <w:szCs w:val="21"/>
              </w:rPr>
            </w:pPr>
            <w:r w:rsidRPr="004E045A">
              <w:rPr>
                <w:rFonts w:ascii="宋体" w:hAnsi="宋体" w:hint="eastAsia"/>
                <w:szCs w:val="21"/>
              </w:rPr>
              <w:t>农业部天然橡胶质量监督检测测试中心</w:t>
            </w:r>
          </w:p>
        </w:tc>
        <w:tc>
          <w:tcPr>
            <w:tcW w:w="382" w:type="pct"/>
            <w:vAlign w:val="center"/>
          </w:tcPr>
          <w:p w:rsidR="00333D3D" w:rsidRDefault="00333D3D" w:rsidP="00E117D6">
            <w:pPr>
              <w:spacing w:line="360" w:lineRule="auto"/>
              <w:jc w:val="center"/>
            </w:pPr>
            <w:r>
              <w:rPr>
                <w:rFonts w:hint="eastAsia"/>
              </w:rPr>
              <w:t>0.605</w:t>
            </w:r>
          </w:p>
        </w:tc>
        <w:tc>
          <w:tcPr>
            <w:tcW w:w="458" w:type="pct"/>
            <w:vAlign w:val="center"/>
          </w:tcPr>
          <w:p w:rsidR="00333D3D" w:rsidRDefault="00333D3D" w:rsidP="00E117D6">
            <w:pPr>
              <w:spacing w:line="360" w:lineRule="auto"/>
              <w:jc w:val="center"/>
            </w:pPr>
            <w:r>
              <w:rPr>
                <w:rFonts w:hint="eastAsia"/>
              </w:rPr>
              <w:t>0.600</w:t>
            </w:r>
          </w:p>
        </w:tc>
        <w:tc>
          <w:tcPr>
            <w:tcW w:w="506" w:type="pct"/>
            <w:vAlign w:val="center"/>
          </w:tcPr>
          <w:p w:rsidR="00333D3D" w:rsidRDefault="00333D3D" w:rsidP="00E117D6">
            <w:pPr>
              <w:spacing w:line="360" w:lineRule="auto"/>
              <w:jc w:val="center"/>
            </w:pPr>
            <w:r>
              <w:rPr>
                <w:rFonts w:hint="eastAsia"/>
              </w:rPr>
              <w:t>0.603</w:t>
            </w:r>
          </w:p>
        </w:tc>
        <w:tc>
          <w:tcPr>
            <w:tcW w:w="463" w:type="pct"/>
            <w:vAlign w:val="center"/>
          </w:tcPr>
          <w:p w:rsidR="00333D3D" w:rsidRDefault="00333D3D" w:rsidP="00E117D6">
            <w:pPr>
              <w:spacing w:line="360" w:lineRule="auto"/>
              <w:jc w:val="center"/>
            </w:pPr>
            <w:r>
              <w:rPr>
                <w:rFonts w:hint="eastAsia"/>
              </w:rPr>
              <w:t>0.0035</w:t>
            </w:r>
          </w:p>
        </w:tc>
        <w:tc>
          <w:tcPr>
            <w:tcW w:w="462" w:type="pct"/>
            <w:vAlign w:val="center"/>
          </w:tcPr>
          <w:p w:rsidR="00333D3D" w:rsidRDefault="00333D3D" w:rsidP="00E117D6">
            <w:pPr>
              <w:spacing w:line="360" w:lineRule="auto"/>
              <w:jc w:val="center"/>
            </w:pPr>
            <w:r>
              <w:rPr>
                <w:rFonts w:hint="eastAsia"/>
              </w:rPr>
              <w:t>0.0100</w:t>
            </w:r>
          </w:p>
        </w:tc>
      </w:tr>
      <w:tr w:rsidR="00333D3D" w:rsidTr="00E117D6">
        <w:tc>
          <w:tcPr>
            <w:tcW w:w="899" w:type="pct"/>
            <w:vMerge w:val="restart"/>
            <w:vAlign w:val="center"/>
          </w:tcPr>
          <w:p w:rsidR="00333D3D" w:rsidRDefault="00333D3D" w:rsidP="00E117D6">
            <w:pPr>
              <w:spacing w:line="360" w:lineRule="auto"/>
              <w:jc w:val="center"/>
            </w:pPr>
            <w:r>
              <w:rPr>
                <w:rFonts w:hint="eastAsia"/>
              </w:rPr>
              <w:t>实验室间</w:t>
            </w:r>
          </w:p>
        </w:tc>
        <w:tc>
          <w:tcPr>
            <w:tcW w:w="762" w:type="pct"/>
            <w:vAlign w:val="center"/>
          </w:tcPr>
          <w:p w:rsidR="00333D3D" w:rsidRDefault="00333D3D" w:rsidP="00E117D6">
            <w:pPr>
              <w:spacing w:line="360" w:lineRule="auto"/>
              <w:jc w:val="center"/>
            </w:pPr>
            <w:r>
              <w:rPr>
                <w:rFonts w:hint="eastAsia"/>
              </w:rPr>
              <w:t>SR</w:t>
            </w:r>
          </w:p>
        </w:tc>
        <w:tc>
          <w:tcPr>
            <w:tcW w:w="1069" w:type="pct"/>
            <w:vAlign w:val="center"/>
          </w:tcPr>
          <w:p w:rsidR="00333D3D" w:rsidRDefault="00333D3D" w:rsidP="00E117D6">
            <w:pPr>
              <w:spacing w:line="360" w:lineRule="auto"/>
              <w:jc w:val="center"/>
            </w:pPr>
            <w:r>
              <w:rPr>
                <w:rFonts w:hint="eastAsia"/>
              </w:rPr>
              <w:t>0.0035</w:t>
            </w:r>
          </w:p>
        </w:tc>
        <w:tc>
          <w:tcPr>
            <w:tcW w:w="382" w:type="pct"/>
            <w:vAlign w:val="center"/>
          </w:tcPr>
          <w:p w:rsidR="00333D3D" w:rsidRDefault="00333D3D" w:rsidP="00E117D6">
            <w:pPr>
              <w:spacing w:line="360" w:lineRule="auto"/>
              <w:jc w:val="center"/>
            </w:pPr>
          </w:p>
        </w:tc>
        <w:tc>
          <w:tcPr>
            <w:tcW w:w="458" w:type="pct"/>
            <w:vAlign w:val="center"/>
          </w:tcPr>
          <w:p w:rsidR="00333D3D" w:rsidRDefault="00333D3D" w:rsidP="00E117D6">
            <w:pPr>
              <w:spacing w:line="360" w:lineRule="auto"/>
              <w:jc w:val="center"/>
            </w:pPr>
          </w:p>
        </w:tc>
        <w:tc>
          <w:tcPr>
            <w:tcW w:w="506" w:type="pct"/>
            <w:vAlign w:val="center"/>
          </w:tcPr>
          <w:p w:rsidR="00333D3D" w:rsidRDefault="00333D3D" w:rsidP="00E117D6">
            <w:pPr>
              <w:spacing w:line="360" w:lineRule="auto"/>
              <w:jc w:val="center"/>
            </w:pPr>
          </w:p>
        </w:tc>
        <w:tc>
          <w:tcPr>
            <w:tcW w:w="463" w:type="pct"/>
            <w:vAlign w:val="center"/>
          </w:tcPr>
          <w:p w:rsidR="00333D3D" w:rsidRDefault="00333D3D" w:rsidP="00E117D6">
            <w:pPr>
              <w:spacing w:line="360" w:lineRule="auto"/>
              <w:jc w:val="center"/>
            </w:pPr>
          </w:p>
        </w:tc>
        <w:tc>
          <w:tcPr>
            <w:tcW w:w="462" w:type="pct"/>
            <w:vAlign w:val="center"/>
          </w:tcPr>
          <w:p w:rsidR="00333D3D" w:rsidRDefault="00333D3D" w:rsidP="00E117D6">
            <w:pPr>
              <w:spacing w:line="360" w:lineRule="auto"/>
              <w:jc w:val="center"/>
            </w:pPr>
          </w:p>
        </w:tc>
      </w:tr>
      <w:tr w:rsidR="00333D3D" w:rsidTr="00E117D6">
        <w:tc>
          <w:tcPr>
            <w:tcW w:w="899" w:type="pct"/>
            <w:vMerge/>
            <w:vAlign w:val="center"/>
          </w:tcPr>
          <w:p w:rsidR="00333D3D" w:rsidRDefault="00333D3D" w:rsidP="00E117D6">
            <w:pPr>
              <w:spacing w:line="360" w:lineRule="auto"/>
              <w:jc w:val="center"/>
            </w:pPr>
          </w:p>
        </w:tc>
        <w:tc>
          <w:tcPr>
            <w:tcW w:w="762" w:type="pct"/>
            <w:vAlign w:val="center"/>
          </w:tcPr>
          <w:p w:rsidR="00333D3D" w:rsidRDefault="00333D3D" w:rsidP="00E117D6">
            <w:pPr>
              <w:spacing w:line="360" w:lineRule="auto"/>
              <w:jc w:val="center"/>
            </w:pPr>
            <w:r>
              <w:rPr>
                <w:rFonts w:hint="eastAsia"/>
              </w:rPr>
              <w:t>R</w:t>
            </w:r>
          </w:p>
        </w:tc>
        <w:tc>
          <w:tcPr>
            <w:tcW w:w="1069" w:type="pct"/>
            <w:vAlign w:val="center"/>
          </w:tcPr>
          <w:p w:rsidR="00333D3D" w:rsidRDefault="00333D3D" w:rsidP="00E117D6">
            <w:pPr>
              <w:spacing w:line="360" w:lineRule="auto"/>
              <w:jc w:val="center"/>
            </w:pPr>
            <w:r>
              <w:rPr>
                <w:rFonts w:hint="eastAsia"/>
              </w:rPr>
              <w:t>0.0098</w:t>
            </w:r>
          </w:p>
        </w:tc>
        <w:tc>
          <w:tcPr>
            <w:tcW w:w="382" w:type="pct"/>
            <w:vAlign w:val="center"/>
          </w:tcPr>
          <w:p w:rsidR="00333D3D" w:rsidRDefault="00333D3D" w:rsidP="00E117D6">
            <w:pPr>
              <w:spacing w:line="360" w:lineRule="auto"/>
              <w:jc w:val="center"/>
            </w:pPr>
          </w:p>
        </w:tc>
        <w:tc>
          <w:tcPr>
            <w:tcW w:w="458" w:type="pct"/>
            <w:vAlign w:val="center"/>
          </w:tcPr>
          <w:p w:rsidR="00333D3D" w:rsidRDefault="00333D3D" w:rsidP="00E117D6">
            <w:pPr>
              <w:spacing w:line="360" w:lineRule="auto"/>
              <w:jc w:val="center"/>
            </w:pPr>
          </w:p>
        </w:tc>
        <w:tc>
          <w:tcPr>
            <w:tcW w:w="506" w:type="pct"/>
            <w:vAlign w:val="center"/>
          </w:tcPr>
          <w:p w:rsidR="00333D3D" w:rsidRDefault="00333D3D" w:rsidP="00E117D6">
            <w:pPr>
              <w:spacing w:line="360" w:lineRule="auto"/>
              <w:jc w:val="center"/>
            </w:pPr>
          </w:p>
        </w:tc>
        <w:tc>
          <w:tcPr>
            <w:tcW w:w="463" w:type="pct"/>
            <w:vAlign w:val="center"/>
          </w:tcPr>
          <w:p w:rsidR="00333D3D" w:rsidRDefault="00333D3D" w:rsidP="00E117D6">
            <w:pPr>
              <w:spacing w:line="360" w:lineRule="auto"/>
              <w:jc w:val="center"/>
            </w:pPr>
          </w:p>
        </w:tc>
        <w:tc>
          <w:tcPr>
            <w:tcW w:w="462" w:type="pct"/>
            <w:vAlign w:val="center"/>
          </w:tcPr>
          <w:p w:rsidR="00333D3D" w:rsidRDefault="00333D3D" w:rsidP="00E117D6">
            <w:pPr>
              <w:spacing w:line="360" w:lineRule="auto"/>
              <w:jc w:val="center"/>
            </w:pPr>
          </w:p>
        </w:tc>
      </w:tr>
    </w:tbl>
    <w:p w:rsidR="001C5778" w:rsidRDefault="001C5778">
      <w:pPr>
        <w:tabs>
          <w:tab w:val="left" w:pos="6120"/>
        </w:tabs>
        <w:spacing w:line="360" w:lineRule="auto"/>
        <w:rPr>
          <w:sz w:val="24"/>
        </w:rPr>
      </w:pPr>
    </w:p>
    <w:p w:rsidR="00386898" w:rsidRPr="00245D31" w:rsidRDefault="00386898" w:rsidP="00E775BC">
      <w:pPr>
        <w:numPr>
          <w:ilvl w:val="0"/>
          <w:numId w:val="9"/>
        </w:numPr>
        <w:spacing w:line="360" w:lineRule="auto"/>
        <w:rPr>
          <w:rFonts w:ascii="黑体" w:eastAsia="黑体" w:hAnsi="黑体"/>
          <w:sz w:val="24"/>
        </w:rPr>
      </w:pPr>
      <w:r w:rsidRPr="00245D31">
        <w:rPr>
          <w:rFonts w:ascii="黑体" w:eastAsia="黑体" w:hAnsi="黑体" w:hint="eastAsia"/>
          <w:sz w:val="24"/>
        </w:rPr>
        <w:t>关于编写原则和技术内容确定依据的说明</w:t>
      </w:r>
    </w:p>
    <w:p w:rsidR="00386898" w:rsidRPr="00245D31" w:rsidRDefault="00386898" w:rsidP="00E775BC">
      <w:pPr>
        <w:spacing w:line="360" w:lineRule="auto"/>
        <w:rPr>
          <w:rFonts w:ascii="黑体" w:eastAsia="黑体" w:hAnsi="黑体"/>
          <w:sz w:val="24"/>
        </w:rPr>
      </w:pPr>
      <w:r w:rsidRPr="00245D31">
        <w:rPr>
          <w:rFonts w:ascii="黑体" w:eastAsia="黑体" w:hAnsi="黑体" w:hint="eastAsia"/>
          <w:sz w:val="24"/>
        </w:rPr>
        <w:t>2.1 标准编写原则</w:t>
      </w:r>
    </w:p>
    <w:p w:rsidR="00386898" w:rsidRPr="007D6720" w:rsidRDefault="00386898" w:rsidP="00E775BC">
      <w:pPr>
        <w:spacing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245D31">
          <w:rPr>
            <w:rFonts w:ascii="黑体" w:eastAsia="黑体" w:hAnsi="黑体" w:hint="eastAsia"/>
            <w:sz w:val="24"/>
          </w:rPr>
          <w:t>2.1.1</w:t>
        </w:r>
      </w:smartTag>
      <w:r w:rsidR="00656B79" w:rsidRPr="00245D31">
        <w:rPr>
          <w:rFonts w:ascii="黑体" w:eastAsia="黑体" w:hAnsi="黑体" w:hint="eastAsia"/>
          <w:sz w:val="24"/>
        </w:rPr>
        <w:t xml:space="preserve"> </w:t>
      </w:r>
      <w:r w:rsidRPr="007D6720">
        <w:rPr>
          <w:rFonts w:ascii="宋体" w:hAnsi="宋体"/>
          <w:sz w:val="24"/>
        </w:rPr>
        <w:t>本标准按GB/T 1.1—2009《标准化工作导则 第１部分：标准的结构和编写规则》给出的规则编制，使标准在结构、语言表述和编排格式上符合统一的要求。</w:t>
      </w:r>
    </w:p>
    <w:p w:rsidR="00386898" w:rsidRPr="007D6720" w:rsidRDefault="009308EA" w:rsidP="00E775BC">
      <w:pPr>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245D31">
          <w:rPr>
            <w:rFonts w:ascii="黑体" w:eastAsia="黑体" w:hAnsi="黑体" w:hint="eastAsia"/>
            <w:sz w:val="24"/>
          </w:rPr>
          <w:t>2.1.2</w:t>
        </w:r>
      </w:smartTag>
      <w:r w:rsidR="00656B79" w:rsidRPr="00245D31">
        <w:rPr>
          <w:rFonts w:ascii="黑体" w:eastAsia="黑体" w:hAnsi="黑体" w:hint="eastAsia"/>
          <w:sz w:val="24"/>
        </w:rPr>
        <w:t xml:space="preserve"> </w:t>
      </w:r>
      <w:r w:rsidR="00386898" w:rsidRPr="007D6720">
        <w:rPr>
          <w:rFonts w:ascii="宋体" w:hAnsi="宋体"/>
          <w:sz w:val="24"/>
        </w:rPr>
        <w:t>根据</w:t>
      </w:r>
      <w:r w:rsidR="00AA6DE9">
        <w:rPr>
          <w:rFonts w:ascii="宋体" w:hAnsi="宋体" w:hint="eastAsia"/>
          <w:sz w:val="24"/>
        </w:rPr>
        <w:t>浓缩天然胶乳</w:t>
      </w:r>
      <w:r w:rsidR="00004427" w:rsidRPr="007D6720">
        <w:rPr>
          <w:rFonts w:ascii="宋体" w:hAnsi="宋体" w:hint="eastAsia"/>
          <w:sz w:val="24"/>
        </w:rPr>
        <w:t>检验方法</w:t>
      </w:r>
      <w:r w:rsidR="00386898" w:rsidRPr="007D6720">
        <w:rPr>
          <w:rFonts w:ascii="宋体" w:hAnsi="宋体"/>
          <w:sz w:val="24"/>
        </w:rPr>
        <w:t>的技术要求以及当前技术水平，遵循科学性、合理性、经济性和可操作性的原则，对原标准的技术内容进行了修订。</w:t>
      </w:r>
    </w:p>
    <w:p w:rsidR="00386898" w:rsidRPr="007D6720" w:rsidRDefault="009308EA" w:rsidP="00E775BC">
      <w:pPr>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245D31">
          <w:rPr>
            <w:rFonts w:ascii="黑体" w:eastAsia="黑体" w:hAnsi="黑体" w:hint="eastAsia"/>
            <w:sz w:val="24"/>
          </w:rPr>
          <w:t>2.1.3</w:t>
        </w:r>
      </w:smartTag>
      <w:r w:rsidR="00656B79" w:rsidRPr="00245D31">
        <w:rPr>
          <w:rFonts w:ascii="黑体" w:eastAsia="黑体" w:hAnsi="黑体" w:hint="eastAsia"/>
          <w:sz w:val="24"/>
        </w:rPr>
        <w:t xml:space="preserve"> </w:t>
      </w:r>
      <w:r w:rsidR="00386898" w:rsidRPr="007D6720">
        <w:rPr>
          <w:rFonts w:ascii="宋体" w:hAnsi="宋体"/>
          <w:sz w:val="24"/>
        </w:rPr>
        <w:t>在标准的名称、技术要求结构和内容、用语等方面与天然橡胶系列标准</w:t>
      </w:r>
      <w:r w:rsidR="005B1D11" w:rsidRPr="007D6720">
        <w:rPr>
          <w:rFonts w:ascii="宋体" w:hAnsi="宋体" w:hint="eastAsia"/>
          <w:sz w:val="24"/>
        </w:rPr>
        <w:t>及</w:t>
      </w:r>
      <w:r w:rsidR="00004427" w:rsidRPr="007D6720">
        <w:rPr>
          <w:rFonts w:ascii="宋体" w:hAnsi="宋体" w:hint="eastAsia"/>
          <w:sz w:val="24"/>
        </w:rPr>
        <w:t>相关标准</w:t>
      </w:r>
      <w:r w:rsidR="00386898" w:rsidRPr="007D6720">
        <w:rPr>
          <w:rFonts w:ascii="宋体" w:hAnsi="宋体"/>
          <w:sz w:val="24"/>
        </w:rPr>
        <w:t>保持一致。</w:t>
      </w:r>
    </w:p>
    <w:p w:rsidR="00386898" w:rsidRPr="00245D31" w:rsidRDefault="00386898" w:rsidP="00E775BC">
      <w:pPr>
        <w:numPr>
          <w:ilvl w:val="1"/>
          <w:numId w:val="9"/>
        </w:numPr>
        <w:spacing w:line="360" w:lineRule="auto"/>
        <w:rPr>
          <w:rFonts w:ascii="黑体" w:eastAsia="黑体" w:hAnsi="黑体"/>
          <w:sz w:val="24"/>
        </w:rPr>
      </w:pPr>
      <w:r w:rsidRPr="00245D31">
        <w:rPr>
          <w:rFonts w:ascii="黑体" w:eastAsia="黑体" w:hAnsi="黑体" w:hint="eastAsia"/>
          <w:sz w:val="24"/>
        </w:rPr>
        <w:t>标准中主要</w:t>
      </w:r>
      <w:r w:rsidR="00FE289B" w:rsidRPr="00245D31">
        <w:rPr>
          <w:rFonts w:ascii="黑体" w:eastAsia="黑体" w:hAnsi="黑体" w:hint="eastAsia"/>
          <w:sz w:val="24"/>
        </w:rPr>
        <w:t>修订</w:t>
      </w:r>
      <w:r w:rsidRPr="00245D31">
        <w:rPr>
          <w:rFonts w:ascii="黑体" w:eastAsia="黑体" w:hAnsi="黑体" w:hint="eastAsia"/>
          <w:sz w:val="24"/>
        </w:rPr>
        <w:t>技术内容的确定</w:t>
      </w:r>
    </w:p>
    <w:p w:rsidR="006C3374" w:rsidRDefault="006C3374" w:rsidP="003C0BCA">
      <w:pPr>
        <w:pStyle w:val="ac"/>
        <w:numPr>
          <w:ilvl w:val="2"/>
          <w:numId w:val="9"/>
        </w:numPr>
        <w:spacing w:line="360" w:lineRule="auto"/>
        <w:ind w:firstLineChars="0"/>
        <w:rPr>
          <w:rFonts w:ascii="黑体" w:eastAsia="黑体" w:hAnsi="黑体"/>
          <w:sz w:val="24"/>
        </w:rPr>
      </w:pPr>
      <w:r>
        <w:rPr>
          <w:rFonts w:ascii="黑体" w:eastAsia="黑体" w:hAnsi="黑体" w:hint="eastAsia"/>
          <w:sz w:val="24"/>
        </w:rPr>
        <w:t>关于规范性引用文件和参考文献的说明</w:t>
      </w:r>
    </w:p>
    <w:p w:rsidR="00000000" w:rsidRDefault="00DB6D4E">
      <w:pPr>
        <w:spacing w:line="360" w:lineRule="auto"/>
        <w:ind w:firstLine="480"/>
        <w:rPr>
          <w:rFonts w:ascii="宋体" w:hAnsi="宋体"/>
          <w:sz w:val="24"/>
        </w:rPr>
      </w:pPr>
      <w:r>
        <w:rPr>
          <w:rFonts w:ascii="宋体" w:hAnsi="宋体" w:hint="eastAsia"/>
          <w:sz w:val="24"/>
        </w:rPr>
        <w:t>由于</w:t>
      </w:r>
      <w:r w:rsidRPr="006C3374">
        <w:rPr>
          <w:rFonts w:ascii="宋体" w:hAnsi="宋体" w:hint="eastAsia"/>
          <w:sz w:val="24"/>
        </w:rPr>
        <w:t>ISO/TR 9272</w:t>
      </w:r>
      <w:r>
        <w:rPr>
          <w:rFonts w:ascii="宋体" w:hAnsi="宋体" w:hint="eastAsia"/>
          <w:sz w:val="24"/>
        </w:rPr>
        <w:t>并非本标准中引用的文件</w:t>
      </w:r>
      <w:r>
        <w:rPr>
          <w:rFonts w:ascii="宋体" w:hAnsi="宋体" w:hint="eastAsia"/>
          <w:sz w:val="24"/>
        </w:rPr>
        <w:t>，因此将</w:t>
      </w:r>
      <w:r w:rsidR="001726AE" w:rsidRPr="001726AE">
        <w:rPr>
          <w:rFonts w:ascii="宋体" w:hAnsi="宋体" w:hint="eastAsia"/>
          <w:sz w:val="24"/>
        </w:rPr>
        <w:t>第</w:t>
      </w:r>
      <w:r w:rsidR="001726AE" w:rsidRPr="001726AE">
        <w:rPr>
          <w:rFonts w:ascii="宋体" w:hAnsi="宋体"/>
          <w:sz w:val="24"/>
        </w:rPr>
        <w:t xml:space="preserve">2章规范性引用文件中的ISO/TR 9272《橡胶与橡胶制品试验方法标准 </w:t>
      </w:r>
      <w:r w:rsidR="001726AE" w:rsidRPr="001726AE">
        <w:rPr>
          <w:rFonts w:ascii="宋体" w:hAnsi="宋体" w:hint="eastAsia"/>
          <w:sz w:val="24"/>
        </w:rPr>
        <w:t>精密度的确定》改为参考文献。同时，增加了</w:t>
      </w:r>
      <w:r w:rsidR="001726AE" w:rsidRPr="001726AE">
        <w:rPr>
          <w:rFonts w:ascii="宋体" w:hAnsi="宋体"/>
          <w:sz w:val="24"/>
        </w:rPr>
        <w:t>ISO 13773:2002 Rubber—Polychloroprene latex—Determination of alkalinity</w:t>
      </w:r>
      <w:r w:rsidR="001726AE" w:rsidRPr="001726AE">
        <w:rPr>
          <w:rFonts w:ascii="宋体" w:hAnsi="宋体" w:hint="eastAsia"/>
          <w:sz w:val="24"/>
        </w:rPr>
        <w:t>作为参考文献</w:t>
      </w:r>
      <w:r w:rsidR="006C3374">
        <w:rPr>
          <w:rFonts w:ascii="宋体" w:hAnsi="宋体" w:hint="eastAsia"/>
          <w:sz w:val="24"/>
        </w:rPr>
        <w:t>。</w:t>
      </w:r>
    </w:p>
    <w:p w:rsidR="001C5778" w:rsidRDefault="00333D3D">
      <w:pPr>
        <w:pStyle w:val="ac"/>
        <w:numPr>
          <w:ilvl w:val="2"/>
          <w:numId w:val="9"/>
        </w:numPr>
        <w:spacing w:line="360" w:lineRule="auto"/>
        <w:ind w:firstLineChars="0"/>
        <w:rPr>
          <w:rFonts w:ascii="黑体" w:eastAsia="黑体" w:hAnsi="黑体"/>
          <w:sz w:val="24"/>
        </w:rPr>
      </w:pPr>
      <w:r w:rsidRPr="00A75EE6">
        <w:rPr>
          <w:rFonts w:ascii="黑体" w:eastAsia="黑体" w:hAnsi="黑体" w:hint="eastAsia"/>
          <w:sz w:val="24"/>
        </w:rPr>
        <w:t>增加了盐酸标准体积液标定</w:t>
      </w:r>
      <w:r>
        <w:rPr>
          <w:rFonts w:ascii="黑体" w:eastAsia="黑体" w:hAnsi="黑体" w:hint="eastAsia"/>
          <w:sz w:val="24"/>
        </w:rPr>
        <w:t>操作</w:t>
      </w:r>
      <w:r w:rsidRPr="00A75EE6">
        <w:rPr>
          <w:rFonts w:ascii="黑体" w:eastAsia="黑体" w:hAnsi="黑体" w:hint="eastAsia"/>
          <w:sz w:val="24"/>
        </w:rPr>
        <w:t>的规定</w:t>
      </w:r>
    </w:p>
    <w:p w:rsidR="003C0BCA" w:rsidRPr="003C0BCA" w:rsidRDefault="00AB09C2" w:rsidP="003C0BCA">
      <w:pPr>
        <w:spacing w:line="360" w:lineRule="auto"/>
        <w:ind w:firstLine="480"/>
        <w:rPr>
          <w:rFonts w:ascii="宋体" w:hAnsi="宋体"/>
          <w:sz w:val="24"/>
        </w:rPr>
      </w:pPr>
      <w:r>
        <w:rPr>
          <w:rFonts w:ascii="宋体" w:hAnsi="宋体" w:hint="eastAsia"/>
          <w:sz w:val="24"/>
        </w:rPr>
        <w:t>盐酸溶液浓度的准确性对本标准的最终</w:t>
      </w:r>
      <w:r w:rsidR="00DB6D4E">
        <w:rPr>
          <w:rFonts w:ascii="宋体" w:hAnsi="宋体" w:hint="eastAsia"/>
          <w:sz w:val="24"/>
        </w:rPr>
        <w:t>测定</w:t>
      </w:r>
      <w:r>
        <w:rPr>
          <w:rFonts w:ascii="宋体" w:hAnsi="宋体" w:hint="eastAsia"/>
          <w:sz w:val="24"/>
        </w:rPr>
        <w:t>结果至关重要</w:t>
      </w:r>
      <w:r w:rsidR="00DB6D4E">
        <w:rPr>
          <w:rFonts w:ascii="宋体" w:hAnsi="宋体" w:hint="eastAsia"/>
          <w:sz w:val="24"/>
        </w:rPr>
        <w:t>。只有统一规范的</w:t>
      </w:r>
      <w:r w:rsidR="00DB6D4E">
        <w:rPr>
          <w:rFonts w:ascii="宋体" w:hAnsi="宋体" w:hint="eastAsia"/>
          <w:sz w:val="24"/>
        </w:rPr>
        <w:t>标定</w:t>
      </w:r>
      <w:r w:rsidR="00DB6D4E">
        <w:rPr>
          <w:rFonts w:ascii="宋体" w:hAnsi="宋体" w:hint="eastAsia"/>
          <w:sz w:val="24"/>
        </w:rPr>
        <w:t>操作，才能确保盐酸溶液</w:t>
      </w:r>
      <w:r>
        <w:rPr>
          <w:rFonts w:ascii="宋体" w:hAnsi="宋体" w:hint="eastAsia"/>
          <w:sz w:val="24"/>
        </w:rPr>
        <w:t>浓度的</w:t>
      </w:r>
      <w:r w:rsidR="00DB6D4E">
        <w:rPr>
          <w:rFonts w:ascii="宋体" w:hAnsi="宋体" w:hint="eastAsia"/>
          <w:sz w:val="24"/>
        </w:rPr>
        <w:t>准确性。</w:t>
      </w:r>
      <w:r>
        <w:rPr>
          <w:rFonts w:ascii="宋体" w:hAnsi="宋体" w:hint="eastAsia"/>
          <w:sz w:val="24"/>
        </w:rPr>
        <w:t>本标准</w:t>
      </w:r>
      <w:r w:rsidR="00333D3D">
        <w:rPr>
          <w:rFonts w:ascii="宋体" w:hAnsi="宋体" w:hint="eastAsia"/>
          <w:sz w:val="24"/>
        </w:rPr>
        <w:t>在4.2节中</w:t>
      </w:r>
      <w:r>
        <w:rPr>
          <w:rFonts w:ascii="宋体" w:hAnsi="宋体" w:hint="eastAsia"/>
          <w:sz w:val="24"/>
        </w:rPr>
        <w:t>增加了标定操作程序，使标准滴定液的浓度的标定过程更加规范化。</w:t>
      </w:r>
    </w:p>
    <w:p w:rsidR="00143B67" w:rsidRPr="00245D31" w:rsidRDefault="00AB09C2" w:rsidP="00E775BC">
      <w:pPr>
        <w:spacing w:line="360" w:lineRule="auto"/>
        <w:rPr>
          <w:rFonts w:ascii="黑体" w:eastAsia="黑体" w:hAnsi="黑体"/>
          <w:sz w:val="24"/>
        </w:rPr>
      </w:pPr>
      <w:r w:rsidRPr="009E21B5">
        <w:rPr>
          <w:rFonts w:ascii="黑体" w:eastAsia="黑体" w:hAnsi="黑体" w:hint="eastAsia"/>
          <w:sz w:val="24"/>
        </w:rPr>
        <w:lastRenderedPageBreak/>
        <w:t>2.2.</w:t>
      </w:r>
      <w:r w:rsidR="00AE5448">
        <w:rPr>
          <w:rFonts w:ascii="黑体" w:eastAsia="黑体" w:hAnsi="黑体" w:hint="eastAsia"/>
          <w:sz w:val="24"/>
        </w:rPr>
        <w:t>3</w:t>
      </w:r>
      <w:r w:rsidR="007653E5">
        <w:rPr>
          <w:rFonts w:ascii="黑体" w:eastAsia="黑体" w:hAnsi="黑体" w:hint="eastAsia"/>
          <w:sz w:val="24"/>
        </w:rPr>
        <w:t>增加</w:t>
      </w:r>
      <w:r w:rsidR="002C4C7F">
        <w:rPr>
          <w:rFonts w:ascii="黑体" w:eastAsia="黑体" w:hAnsi="黑体" w:hint="eastAsia"/>
          <w:sz w:val="24"/>
        </w:rPr>
        <w:t>了</w:t>
      </w:r>
      <w:r w:rsidR="007653E5">
        <w:rPr>
          <w:rFonts w:ascii="黑体" w:eastAsia="黑体" w:hAnsi="黑体" w:hint="eastAsia"/>
          <w:sz w:val="24"/>
        </w:rPr>
        <w:t>碳酸钙</w:t>
      </w:r>
      <w:r>
        <w:rPr>
          <w:rFonts w:ascii="黑体" w:eastAsia="黑体" w:hAnsi="黑体" w:hint="eastAsia"/>
          <w:sz w:val="24"/>
        </w:rPr>
        <w:t>溶液</w:t>
      </w:r>
      <w:r w:rsidR="007653E5">
        <w:rPr>
          <w:rFonts w:ascii="黑体" w:eastAsia="黑体" w:hAnsi="黑体" w:hint="eastAsia"/>
          <w:sz w:val="24"/>
        </w:rPr>
        <w:t>和甲基橙的规定</w:t>
      </w:r>
    </w:p>
    <w:p w:rsidR="00367E7E" w:rsidRDefault="00C71BD5" w:rsidP="00E775BC">
      <w:pPr>
        <w:spacing w:line="360" w:lineRule="auto"/>
        <w:ind w:firstLine="480"/>
        <w:rPr>
          <w:rFonts w:ascii="宋体" w:hAnsi="宋体"/>
          <w:sz w:val="24"/>
        </w:rPr>
      </w:pPr>
      <w:r>
        <w:rPr>
          <w:rFonts w:ascii="宋体" w:hAnsi="宋体" w:hint="eastAsia"/>
          <w:sz w:val="24"/>
        </w:rPr>
        <w:t>相比GB/T 8300-2008</w:t>
      </w:r>
      <w:r w:rsidR="005548F4">
        <w:rPr>
          <w:rFonts w:ascii="宋体" w:hAnsi="宋体" w:hint="eastAsia"/>
          <w:sz w:val="24"/>
        </w:rPr>
        <w:t>，</w:t>
      </w:r>
      <w:r w:rsidR="00367E7E">
        <w:rPr>
          <w:rFonts w:ascii="宋体" w:hAnsi="宋体" w:hint="eastAsia"/>
          <w:sz w:val="24"/>
        </w:rPr>
        <w:t>此次修订在试剂部分增加了对碳酸钙</w:t>
      </w:r>
      <w:r w:rsidR="00AB09C2">
        <w:rPr>
          <w:rFonts w:ascii="宋体" w:hAnsi="宋体" w:hint="eastAsia"/>
          <w:sz w:val="24"/>
        </w:rPr>
        <w:t>溶液</w:t>
      </w:r>
      <w:r w:rsidR="00367E7E">
        <w:rPr>
          <w:rFonts w:ascii="宋体" w:hAnsi="宋体" w:hint="eastAsia"/>
          <w:sz w:val="24"/>
        </w:rPr>
        <w:t>和甲基橙的规定</w:t>
      </w:r>
      <w:r w:rsidR="00D17E99">
        <w:rPr>
          <w:rFonts w:ascii="宋体" w:hAnsi="宋体" w:hint="eastAsia"/>
          <w:sz w:val="24"/>
        </w:rPr>
        <w:t>。碳酸钙</w:t>
      </w:r>
      <w:r w:rsidR="00AB09C2">
        <w:rPr>
          <w:rFonts w:ascii="宋体" w:hAnsi="宋体" w:hint="eastAsia"/>
          <w:sz w:val="24"/>
        </w:rPr>
        <w:t>溶液</w:t>
      </w:r>
      <w:r w:rsidR="00D17E99">
        <w:rPr>
          <w:rFonts w:ascii="宋体" w:hAnsi="宋体" w:hint="eastAsia"/>
          <w:sz w:val="24"/>
        </w:rPr>
        <w:t>和甲基橙是</w:t>
      </w:r>
      <w:r w:rsidR="00AB09C2">
        <w:rPr>
          <w:rFonts w:ascii="宋体" w:hAnsi="宋体" w:hint="eastAsia"/>
          <w:sz w:val="24"/>
        </w:rPr>
        <w:t>硫酸和盐酸标准体积液</w:t>
      </w:r>
      <w:r w:rsidR="00D17E99">
        <w:rPr>
          <w:rFonts w:ascii="宋体" w:hAnsi="宋体" w:hint="eastAsia"/>
          <w:sz w:val="24"/>
        </w:rPr>
        <w:t>标定过程中</w:t>
      </w:r>
      <w:r w:rsidR="00AB09C2">
        <w:rPr>
          <w:rFonts w:ascii="宋体" w:hAnsi="宋体" w:hint="eastAsia"/>
          <w:sz w:val="24"/>
        </w:rPr>
        <w:t>的</w:t>
      </w:r>
      <w:r w:rsidR="00D17E99">
        <w:rPr>
          <w:rFonts w:ascii="宋体" w:hAnsi="宋体" w:hint="eastAsia"/>
          <w:sz w:val="24"/>
        </w:rPr>
        <w:t>两种重要试剂，</w:t>
      </w:r>
      <w:r w:rsidR="00E6606C">
        <w:rPr>
          <w:rFonts w:ascii="宋体" w:hAnsi="宋体" w:hint="eastAsia"/>
          <w:sz w:val="24"/>
        </w:rPr>
        <w:t>本次修订通过</w:t>
      </w:r>
      <w:r w:rsidR="00D17E99">
        <w:rPr>
          <w:rFonts w:ascii="宋体" w:hAnsi="宋体" w:hint="eastAsia"/>
          <w:sz w:val="24"/>
        </w:rPr>
        <w:t>增加碳酸钙</w:t>
      </w:r>
      <w:r w:rsidR="00AB09C2">
        <w:rPr>
          <w:rFonts w:ascii="宋体" w:hAnsi="宋体" w:hint="eastAsia"/>
          <w:sz w:val="24"/>
        </w:rPr>
        <w:t>溶液</w:t>
      </w:r>
      <w:r w:rsidR="00D17E99">
        <w:rPr>
          <w:rFonts w:ascii="宋体" w:hAnsi="宋体" w:hint="eastAsia"/>
          <w:sz w:val="24"/>
        </w:rPr>
        <w:t>和甲基橙的规定</w:t>
      </w:r>
      <w:r w:rsidR="00E6606C">
        <w:rPr>
          <w:rFonts w:ascii="宋体" w:hAnsi="宋体" w:hint="eastAsia"/>
          <w:sz w:val="24"/>
        </w:rPr>
        <w:t>，</w:t>
      </w:r>
      <w:r>
        <w:rPr>
          <w:rFonts w:ascii="宋体" w:hAnsi="宋体" w:hint="eastAsia"/>
          <w:sz w:val="24"/>
        </w:rPr>
        <w:t>有利于提高硫酸或盐酸标准体积液标定过程的</w:t>
      </w:r>
      <w:r w:rsidR="00A8670B">
        <w:rPr>
          <w:rFonts w:ascii="宋体" w:hAnsi="宋体" w:hint="eastAsia"/>
          <w:sz w:val="24"/>
        </w:rPr>
        <w:t>准确</w:t>
      </w:r>
      <w:r>
        <w:rPr>
          <w:rFonts w:ascii="宋体" w:hAnsi="宋体" w:hint="eastAsia"/>
          <w:sz w:val="24"/>
        </w:rPr>
        <w:t>性</w:t>
      </w:r>
      <w:r w:rsidR="00D17E99">
        <w:rPr>
          <w:rFonts w:ascii="宋体" w:hAnsi="宋体" w:hint="eastAsia"/>
          <w:sz w:val="24"/>
        </w:rPr>
        <w:t>，从而提高</w:t>
      </w:r>
      <w:r w:rsidR="005548F4">
        <w:rPr>
          <w:rFonts w:ascii="宋体" w:hAnsi="宋体" w:hint="eastAsia"/>
          <w:sz w:val="24"/>
        </w:rPr>
        <w:t>浓缩天然胶乳</w:t>
      </w:r>
      <w:r w:rsidR="00D17E99">
        <w:rPr>
          <w:rFonts w:ascii="宋体" w:hAnsi="宋体" w:hint="eastAsia"/>
          <w:sz w:val="24"/>
        </w:rPr>
        <w:t>碱度测定的准确性</w:t>
      </w:r>
      <w:r>
        <w:rPr>
          <w:rFonts w:ascii="宋体" w:hAnsi="宋体" w:hint="eastAsia"/>
          <w:sz w:val="24"/>
        </w:rPr>
        <w:t>。</w:t>
      </w:r>
    </w:p>
    <w:p w:rsidR="003C0BCA" w:rsidRDefault="00AB09C2" w:rsidP="003C0BCA">
      <w:pPr>
        <w:spacing w:line="360" w:lineRule="auto"/>
        <w:rPr>
          <w:rFonts w:ascii="黑体" w:eastAsia="黑体" w:hAnsi="黑体"/>
          <w:sz w:val="24"/>
        </w:rPr>
      </w:pPr>
      <w:r w:rsidRPr="009E21B5">
        <w:rPr>
          <w:rFonts w:ascii="黑体" w:eastAsia="黑体" w:hAnsi="黑体" w:hint="eastAsia"/>
          <w:sz w:val="24"/>
        </w:rPr>
        <w:t>2.2.</w:t>
      </w:r>
      <w:r w:rsidR="00AE5448">
        <w:rPr>
          <w:rFonts w:ascii="黑体" w:eastAsia="黑体" w:hAnsi="黑体" w:hint="eastAsia"/>
          <w:sz w:val="24"/>
        </w:rPr>
        <w:t>4</w:t>
      </w:r>
      <w:r>
        <w:rPr>
          <w:rFonts w:ascii="黑体" w:eastAsia="黑体" w:hAnsi="黑体" w:hint="eastAsia"/>
          <w:sz w:val="24"/>
        </w:rPr>
        <w:t>对操作程序部分的编排格式的修改</w:t>
      </w:r>
    </w:p>
    <w:p w:rsidR="00AB09C2" w:rsidRPr="00AB09C2" w:rsidRDefault="003C0BCA" w:rsidP="001A2EB1">
      <w:pPr>
        <w:spacing w:line="360" w:lineRule="auto"/>
        <w:ind w:firstLine="480"/>
        <w:rPr>
          <w:rFonts w:ascii="宋体" w:hAnsi="宋体"/>
          <w:sz w:val="24"/>
        </w:rPr>
      </w:pPr>
      <w:r w:rsidRPr="003C0BCA">
        <w:rPr>
          <w:rFonts w:ascii="宋体" w:hAnsi="宋体" w:hint="eastAsia"/>
          <w:sz w:val="24"/>
        </w:rPr>
        <w:t>本标准对第</w:t>
      </w:r>
      <w:r w:rsidRPr="003C0BCA">
        <w:rPr>
          <w:rFonts w:ascii="宋体" w:hAnsi="宋体"/>
          <w:sz w:val="24"/>
        </w:rPr>
        <w:t>7章操作程序部分采用</w:t>
      </w:r>
      <w:r w:rsidRPr="003C0BCA">
        <w:rPr>
          <w:rFonts w:ascii="宋体" w:hAnsi="宋体" w:hint="eastAsia"/>
          <w:sz w:val="24"/>
        </w:rPr>
        <w:t>分节的形式说明，较旧版本的分段说明更加直观，有利于标准使用者快速掌握此操作过程。</w:t>
      </w:r>
    </w:p>
    <w:p w:rsidR="000054FA" w:rsidRPr="009E21B5" w:rsidRDefault="000054FA" w:rsidP="00E775BC">
      <w:pPr>
        <w:spacing w:line="360" w:lineRule="auto"/>
        <w:rPr>
          <w:rFonts w:ascii="黑体" w:eastAsia="黑体" w:hAnsi="黑体"/>
          <w:sz w:val="24"/>
        </w:rPr>
      </w:pPr>
      <w:r w:rsidRPr="009E21B5">
        <w:rPr>
          <w:rFonts w:ascii="黑体" w:eastAsia="黑体" w:hAnsi="黑体" w:hint="eastAsia"/>
          <w:sz w:val="24"/>
        </w:rPr>
        <w:t>2.2.</w:t>
      </w:r>
      <w:r w:rsidR="00AE5448">
        <w:rPr>
          <w:rFonts w:ascii="黑体" w:eastAsia="黑体" w:hAnsi="黑体" w:hint="eastAsia"/>
          <w:sz w:val="24"/>
        </w:rPr>
        <w:t>5</w:t>
      </w:r>
      <w:r w:rsidRPr="009E21B5">
        <w:rPr>
          <w:rFonts w:ascii="黑体" w:eastAsia="黑体" w:hAnsi="黑体" w:hint="eastAsia"/>
          <w:sz w:val="24"/>
        </w:rPr>
        <w:t>关于</w:t>
      </w:r>
      <w:r w:rsidR="00CD5087">
        <w:rPr>
          <w:rFonts w:ascii="黑体" w:eastAsia="黑体" w:hAnsi="黑体" w:hint="eastAsia"/>
          <w:sz w:val="24"/>
        </w:rPr>
        <w:t>显色滴定的说明</w:t>
      </w:r>
    </w:p>
    <w:p w:rsidR="00CD5087" w:rsidRDefault="00CD5087" w:rsidP="00E775BC">
      <w:pPr>
        <w:spacing w:line="360" w:lineRule="auto"/>
        <w:ind w:firstLineChars="200" w:firstLine="480"/>
        <w:rPr>
          <w:rFonts w:ascii="宋体" w:hAnsi="宋体"/>
          <w:color w:val="000000"/>
          <w:sz w:val="24"/>
        </w:rPr>
      </w:pPr>
      <w:r>
        <w:rPr>
          <w:rFonts w:ascii="宋体" w:hAnsi="宋体" w:hint="eastAsia"/>
          <w:color w:val="000000"/>
          <w:sz w:val="24"/>
        </w:rPr>
        <w:t>在第7节</w:t>
      </w:r>
      <w:r w:rsidR="00D17E99">
        <w:rPr>
          <w:rFonts w:ascii="宋体" w:hAnsi="宋体" w:hint="eastAsia"/>
          <w:color w:val="000000"/>
          <w:sz w:val="24"/>
        </w:rPr>
        <w:t>操作程序部分</w:t>
      </w:r>
      <w:r>
        <w:rPr>
          <w:rFonts w:ascii="宋体" w:hAnsi="宋体" w:hint="eastAsia"/>
          <w:color w:val="000000"/>
          <w:sz w:val="24"/>
        </w:rPr>
        <w:t>对显色滴定</w:t>
      </w:r>
      <w:r w:rsidR="00D17E99">
        <w:rPr>
          <w:rFonts w:ascii="宋体" w:hAnsi="宋体" w:hint="eastAsia"/>
          <w:color w:val="000000"/>
          <w:sz w:val="24"/>
        </w:rPr>
        <w:t>操作</w:t>
      </w:r>
      <w:r>
        <w:rPr>
          <w:rFonts w:ascii="宋体" w:hAnsi="宋体" w:hint="eastAsia"/>
          <w:color w:val="000000"/>
          <w:sz w:val="24"/>
        </w:rPr>
        <w:t>进行了更详细的说明</w:t>
      </w:r>
      <w:r w:rsidR="0023641F">
        <w:rPr>
          <w:rFonts w:ascii="宋体" w:hAnsi="宋体" w:hint="eastAsia"/>
          <w:color w:val="000000"/>
          <w:sz w:val="24"/>
        </w:rPr>
        <w:t>。</w:t>
      </w:r>
      <w:r w:rsidR="00E6606C">
        <w:rPr>
          <w:rFonts w:ascii="宋体" w:hAnsi="宋体" w:hint="eastAsia"/>
          <w:sz w:val="24"/>
        </w:rPr>
        <w:t>GB/T 8300-2008</w:t>
      </w:r>
      <w:r w:rsidR="0023641F">
        <w:rPr>
          <w:rFonts w:ascii="宋体" w:hAnsi="宋体" w:hint="eastAsia"/>
          <w:color w:val="000000"/>
          <w:sz w:val="24"/>
        </w:rPr>
        <w:t>对甲基红判断滴定终点的方法只做了简单说明</w:t>
      </w:r>
      <w:r w:rsidR="00E6606C">
        <w:rPr>
          <w:rFonts w:ascii="宋体" w:hAnsi="宋体" w:hint="eastAsia"/>
          <w:color w:val="000000"/>
          <w:sz w:val="24"/>
        </w:rPr>
        <w:t>。</w:t>
      </w:r>
      <w:r w:rsidR="0023641F">
        <w:rPr>
          <w:rFonts w:ascii="宋体" w:hAnsi="宋体" w:hint="eastAsia"/>
          <w:color w:val="000000"/>
          <w:sz w:val="24"/>
        </w:rPr>
        <w:t>为了</w:t>
      </w:r>
      <w:r>
        <w:rPr>
          <w:rFonts w:ascii="宋体" w:hAnsi="宋体" w:hint="eastAsia"/>
          <w:color w:val="000000"/>
          <w:sz w:val="24"/>
        </w:rPr>
        <w:t>使滴定过程更加规范化</w:t>
      </w:r>
      <w:r w:rsidR="0023641F">
        <w:rPr>
          <w:rFonts w:ascii="宋体" w:hAnsi="宋体" w:hint="eastAsia"/>
          <w:color w:val="000000"/>
          <w:sz w:val="24"/>
        </w:rPr>
        <w:t>，本</w:t>
      </w:r>
      <w:r w:rsidR="00E6606C">
        <w:rPr>
          <w:rFonts w:ascii="宋体" w:hAnsi="宋体" w:hint="eastAsia"/>
          <w:color w:val="000000"/>
          <w:sz w:val="24"/>
        </w:rPr>
        <w:t>次修订将</w:t>
      </w:r>
      <w:r w:rsidR="0023641F">
        <w:rPr>
          <w:rFonts w:ascii="宋体" w:hAnsi="宋体" w:hint="eastAsia"/>
          <w:color w:val="000000"/>
          <w:sz w:val="24"/>
        </w:rPr>
        <w:t>甲基橙的</w:t>
      </w:r>
      <w:r w:rsidR="00E6606C">
        <w:rPr>
          <w:rFonts w:ascii="宋体" w:hAnsi="宋体" w:hint="eastAsia"/>
          <w:color w:val="000000"/>
          <w:sz w:val="24"/>
        </w:rPr>
        <w:t>用</w:t>
      </w:r>
      <w:r w:rsidR="0023641F">
        <w:rPr>
          <w:rFonts w:ascii="宋体" w:hAnsi="宋体" w:hint="eastAsia"/>
          <w:color w:val="000000"/>
          <w:sz w:val="24"/>
        </w:rPr>
        <w:t>量</w:t>
      </w:r>
      <w:r w:rsidR="00E6606C">
        <w:rPr>
          <w:rFonts w:ascii="宋体" w:hAnsi="宋体" w:hint="eastAsia"/>
          <w:color w:val="000000"/>
          <w:sz w:val="24"/>
        </w:rPr>
        <w:t>规定</w:t>
      </w:r>
      <w:r w:rsidR="001A457D">
        <w:rPr>
          <w:rFonts w:ascii="宋体" w:hAnsi="宋体" w:hint="eastAsia"/>
          <w:color w:val="000000"/>
          <w:sz w:val="24"/>
        </w:rPr>
        <w:t>为2-3滴</w:t>
      </w:r>
      <w:r w:rsidR="0023641F">
        <w:rPr>
          <w:rFonts w:ascii="宋体" w:hAnsi="宋体" w:hint="eastAsia"/>
          <w:color w:val="000000"/>
          <w:sz w:val="24"/>
        </w:rPr>
        <w:t>，</w:t>
      </w:r>
      <w:r w:rsidR="00E6606C">
        <w:rPr>
          <w:rFonts w:ascii="宋体" w:hAnsi="宋体" w:hint="eastAsia"/>
          <w:color w:val="000000"/>
          <w:sz w:val="24"/>
        </w:rPr>
        <w:t>并且</w:t>
      </w:r>
      <w:r w:rsidR="0023641F">
        <w:rPr>
          <w:rFonts w:ascii="宋体" w:hAnsi="宋体" w:hint="eastAsia"/>
          <w:color w:val="000000"/>
          <w:sz w:val="24"/>
        </w:rPr>
        <w:t>规定</w:t>
      </w:r>
      <w:r w:rsidR="001A457D">
        <w:rPr>
          <w:rFonts w:ascii="宋体" w:hAnsi="宋体" w:hint="eastAsia"/>
          <w:color w:val="000000"/>
          <w:sz w:val="24"/>
        </w:rPr>
        <w:t>滴定液采用</w:t>
      </w:r>
      <w:r w:rsidR="003C0BCA" w:rsidRPr="003C0BCA">
        <w:rPr>
          <w:rFonts w:ascii="宋体" w:hAnsi="宋体"/>
          <w:color w:val="000000"/>
          <w:sz w:val="24"/>
        </w:rPr>
        <w:t>0.1mol/L</w:t>
      </w:r>
      <w:r w:rsidR="001A457D">
        <w:rPr>
          <w:rFonts w:ascii="宋体" w:hAnsi="宋体" w:hint="eastAsia"/>
          <w:color w:val="000000"/>
          <w:sz w:val="24"/>
        </w:rPr>
        <w:t>的</w:t>
      </w:r>
      <w:r w:rsidR="003C0BCA" w:rsidRPr="003C0BCA">
        <w:rPr>
          <w:rFonts w:ascii="宋体" w:hAnsi="宋体"/>
          <w:color w:val="000000"/>
          <w:sz w:val="24"/>
        </w:rPr>
        <w:t>HCl</w:t>
      </w:r>
      <w:r w:rsidR="001A457D">
        <w:rPr>
          <w:rFonts w:ascii="宋体" w:hAnsi="宋体" w:hint="eastAsia"/>
          <w:color w:val="000000"/>
          <w:sz w:val="24"/>
        </w:rPr>
        <w:t>标准体积液</w:t>
      </w:r>
      <w:r>
        <w:rPr>
          <w:rFonts w:ascii="宋体" w:hAnsi="宋体" w:hint="eastAsia"/>
          <w:color w:val="000000"/>
          <w:sz w:val="24"/>
        </w:rPr>
        <w:t>。</w:t>
      </w:r>
    </w:p>
    <w:p w:rsidR="006F7F55" w:rsidRPr="009E21B5" w:rsidRDefault="001A2EB1" w:rsidP="006F7F55">
      <w:pPr>
        <w:spacing w:line="360" w:lineRule="auto"/>
        <w:rPr>
          <w:rFonts w:ascii="黑体" w:eastAsia="黑体" w:hAnsi="黑体"/>
          <w:sz w:val="24"/>
        </w:rPr>
      </w:pPr>
      <w:r>
        <w:rPr>
          <w:rFonts w:ascii="黑体" w:eastAsia="黑体" w:hAnsi="黑体" w:hint="eastAsia"/>
          <w:sz w:val="24"/>
        </w:rPr>
        <w:t>2.2.</w:t>
      </w:r>
      <w:r w:rsidR="00AE5448">
        <w:rPr>
          <w:rFonts w:ascii="黑体" w:eastAsia="黑体" w:hAnsi="黑体" w:hint="eastAsia"/>
          <w:sz w:val="24"/>
        </w:rPr>
        <w:t>6</w:t>
      </w:r>
      <w:r w:rsidR="006F7F55" w:rsidRPr="009E21B5">
        <w:rPr>
          <w:rFonts w:ascii="黑体" w:eastAsia="黑体" w:hAnsi="黑体" w:hint="eastAsia"/>
          <w:sz w:val="24"/>
        </w:rPr>
        <w:t>关于</w:t>
      </w:r>
      <w:r w:rsidR="006F7F55">
        <w:rPr>
          <w:rFonts w:ascii="黑体" w:eastAsia="黑体" w:hAnsi="黑体" w:hint="eastAsia"/>
          <w:sz w:val="24"/>
        </w:rPr>
        <w:t>精密度的说明</w:t>
      </w:r>
    </w:p>
    <w:p w:rsidR="003C0BCA" w:rsidRDefault="000054FA" w:rsidP="003C0BCA">
      <w:pPr>
        <w:spacing w:line="360" w:lineRule="auto"/>
        <w:ind w:firstLine="480"/>
        <w:rPr>
          <w:rFonts w:ascii="宋体" w:hAnsi="宋体"/>
          <w:sz w:val="24"/>
        </w:rPr>
      </w:pPr>
      <w:r w:rsidRPr="007D6720">
        <w:rPr>
          <w:rFonts w:ascii="宋体" w:hAnsi="宋体" w:hint="eastAsia"/>
          <w:sz w:val="24"/>
        </w:rPr>
        <w:t xml:space="preserve">本次修订采用ISO </w:t>
      </w:r>
      <w:r w:rsidR="006F7F55">
        <w:rPr>
          <w:rFonts w:ascii="宋体" w:hAnsi="宋体" w:hint="eastAsia"/>
          <w:sz w:val="24"/>
        </w:rPr>
        <w:t>125</w:t>
      </w:r>
      <w:r w:rsidRPr="007D6720">
        <w:rPr>
          <w:rFonts w:ascii="宋体" w:hAnsi="宋体" w:hint="eastAsia"/>
          <w:sz w:val="24"/>
        </w:rPr>
        <w:t>：</w:t>
      </w:r>
      <w:r w:rsidR="006F7F55" w:rsidRPr="007D6720">
        <w:rPr>
          <w:rFonts w:ascii="宋体" w:hAnsi="宋体" w:hint="eastAsia"/>
          <w:sz w:val="24"/>
        </w:rPr>
        <w:t>20</w:t>
      </w:r>
      <w:r w:rsidR="006F7F55">
        <w:rPr>
          <w:rFonts w:ascii="宋体" w:hAnsi="宋体" w:hint="eastAsia"/>
          <w:sz w:val="24"/>
        </w:rPr>
        <w:t>11（E</w:t>
      </w:r>
      <w:r w:rsidR="006F7F55">
        <w:rPr>
          <w:rFonts w:ascii="宋体" w:hAnsi="宋体"/>
          <w:sz w:val="24"/>
        </w:rPr>
        <w:t>）</w:t>
      </w:r>
      <w:r w:rsidRPr="007D6720">
        <w:rPr>
          <w:rFonts w:ascii="宋体" w:hAnsi="宋体" w:hint="eastAsia"/>
          <w:sz w:val="24"/>
        </w:rPr>
        <w:t>中有关精密度的规定</w:t>
      </w:r>
      <w:r w:rsidR="006F7F55">
        <w:rPr>
          <w:rFonts w:ascii="宋体" w:hAnsi="宋体" w:hint="eastAsia"/>
          <w:sz w:val="24"/>
        </w:rPr>
        <w:t>，将原标准中第9节“精密度说明”</w:t>
      </w:r>
      <w:r w:rsidR="00E6606C">
        <w:rPr>
          <w:rFonts w:ascii="宋体" w:hAnsi="宋体" w:hint="eastAsia"/>
          <w:sz w:val="24"/>
        </w:rPr>
        <w:t>改为</w:t>
      </w:r>
      <w:r w:rsidR="006F7F55">
        <w:rPr>
          <w:rFonts w:ascii="宋体" w:hAnsi="宋体" w:hint="eastAsia"/>
          <w:sz w:val="24"/>
        </w:rPr>
        <w:t>资料性附录A</w:t>
      </w:r>
      <w:r w:rsidRPr="007D6720">
        <w:rPr>
          <w:rFonts w:ascii="宋体" w:hAnsi="宋体" w:hint="eastAsia"/>
          <w:sz w:val="24"/>
        </w:rPr>
        <w:t>。</w:t>
      </w:r>
    </w:p>
    <w:p w:rsidR="00944C3D" w:rsidRPr="009E21B5" w:rsidRDefault="00944C3D" w:rsidP="00944C3D">
      <w:pPr>
        <w:spacing w:line="360" w:lineRule="auto"/>
        <w:rPr>
          <w:rFonts w:ascii="黑体" w:eastAsia="黑体" w:hAnsi="黑体"/>
          <w:sz w:val="24"/>
        </w:rPr>
      </w:pPr>
      <w:r>
        <w:rPr>
          <w:rFonts w:ascii="黑体" w:eastAsia="黑体" w:hAnsi="黑体" w:hint="eastAsia"/>
          <w:sz w:val="24"/>
        </w:rPr>
        <w:t>2.2.</w:t>
      </w:r>
      <w:r w:rsidR="00AE5448">
        <w:rPr>
          <w:rFonts w:ascii="黑体" w:eastAsia="黑体" w:hAnsi="黑体" w:hint="eastAsia"/>
          <w:sz w:val="24"/>
        </w:rPr>
        <w:t>7</w:t>
      </w:r>
      <w:r w:rsidRPr="009E21B5">
        <w:rPr>
          <w:rFonts w:ascii="黑体" w:eastAsia="黑体" w:hAnsi="黑体" w:hint="eastAsia"/>
          <w:sz w:val="24"/>
        </w:rPr>
        <w:t>关于</w:t>
      </w:r>
      <w:r>
        <w:rPr>
          <w:rFonts w:ascii="黑体" w:eastAsia="黑体" w:hAnsi="黑体" w:hint="eastAsia"/>
          <w:sz w:val="24"/>
        </w:rPr>
        <w:t>对稳定剂的注</w:t>
      </w:r>
    </w:p>
    <w:p w:rsidR="00944C3D" w:rsidRDefault="00944C3D" w:rsidP="003C0BCA">
      <w:pPr>
        <w:spacing w:line="360" w:lineRule="auto"/>
        <w:ind w:firstLine="480"/>
        <w:rPr>
          <w:rFonts w:ascii="宋体" w:hAnsi="宋体"/>
          <w:sz w:val="24"/>
        </w:rPr>
      </w:pPr>
      <w:r>
        <w:rPr>
          <w:rFonts w:ascii="宋体" w:hAnsi="宋体" w:hint="eastAsia"/>
          <w:sz w:val="24"/>
        </w:rPr>
        <w:t>非离子表面活性类稳定剂一般为工业品，规格、纯度、质量等相差较大，另外，配制好的稳定剂溶液放置时间太久，也会发生变化，从而有可能影响浓缩天然胶乳碱度滴定终点的判断。为此，GB/T 8300-2008增加了一个关于稳定剂说明的注（对应的ISO125:2003并没用关于稳定剂补充说明的注）。</w:t>
      </w:r>
      <w:r w:rsidR="00A23EA3">
        <w:rPr>
          <w:rFonts w:ascii="宋体" w:hAnsi="宋体" w:hint="eastAsia"/>
          <w:sz w:val="24"/>
        </w:rPr>
        <w:t>尽管ISO125:2011中同样没有关于稳定剂的注，但是，为了消除稳定剂对浓缩天然胶乳碱度测定结果可能产生的影响，在</w:t>
      </w:r>
      <w:r w:rsidR="00AE5448">
        <w:rPr>
          <w:rFonts w:ascii="宋体" w:hAnsi="宋体" w:hint="eastAsia"/>
          <w:sz w:val="24"/>
        </w:rPr>
        <w:t>本标准</w:t>
      </w:r>
      <w:r w:rsidR="00A23EA3">
        <w:rPr>
          <w:rFonts w:ascii="宋体" w:hAnsi="宋体" w:hint="eastAsia"/>
          <w:sz w:val="24"/>
        </w:rPr>
        <w:t>中依然保留了关于稳定剂补充说明的注。</w:t>
      </w:r>
    </w:p>
    <w:p w:rsidR="007517B9" w:rsidRPr="00500056" w:rsidRDefault="005D5F72" w:rsidP="00E775BC">
      <w:pPr>
        <w:spacing w:line="360" w:lineRule="auto"/>
        <w:rPr>
          <w:rFonts w:ascii="黑体" w:eastAsia="黑体" w:hAnsi="黑体"/>
          <w:sz w:val="24"/>
        </w:rPr>
      </w:pPr>
      <w:r w:rsidRPr="00500056">
        <w:rPr>
          <w:rFonts w:ascii="黑体" w:eastAsia="黑体" w:hAnsi="黑体" w:hint="eastAsia"/>
          <w:sz w:val="24"/>
        </w:rPr>
        <w:t xml:space="preserve">3  </w:t>
      </w:r>
      <w:r w:rsidR="007517B9" w:rsidRPr="00500056">
        <w:rPr>
          <w:rFonts w:ascii="黑体" w:eastAsia="黑体" w:hAnsi="黑体" w:hint="eastAsia"/>
          <w:sz w:val="24"/>
        </w:rPr>
        <w:t>本标准与有关现行法律、法规和强制性标准没有冲突。</w:t>
      </w:r>
    </w:p>
    <w:p w:rsidR="007517B9" w:rsidRPr="00500056" w:rsidRDefault="005D5F72" w:rsidP="00E775BC">
      <w:pPr>
        <w:spacing w:line="360" w:lineRule="auto"/>
        <w:rPr>
          <w:rFonts w:ascii="黑体" w:eastAsia="黑体" w:hAnsi="黑体"/>
          <w:sz w:val="24"/>
        </w:rPr>
      </w:pPr>
      <w:r w:rsidRPr="00500056">
        <w:rPr>
          <w:rFonts w:ascii="黑体" w:eastAsia="黑体" w:hAnsi="黑体" w:hint="eastAsia"/>
          <w:sz w:val="24"/>
        </w:rPr>
        <w:t xml:space="preserve">4  </w:t>
      </w:r>
      <w:r w:rsidR="007517B9" w:rsidRPr="00500056">
        <w:rPr>
          <w:rFonts w:ascii="黑体" w:eastAsia="黑体" w:hAnsi="黑体" w:hint="eastAsia"/>
          <w:sz w:val="24"/>
        </w:rPr>
        <w:t>本标准（征求意见稿）在修订过程中尚未出现重大意见分歧。</w:t>
      </w:r>
    </w:p>
    <w:p w:rsidR="007517B9" w:rsidRPr="00500056" w:rsidRDefault="005D5F72" w:rsidP="00E775BC">
      <w:pPr>
        <w:spacing w:line="360" w:lineRule="auto"/>
        <w:rPr>
          <w:rFonts w:ascii="黑体" w:eastAsia="黑体" w:hAnsi="黑体"/>
          <w:sz w:val="24"/>
        </w:rPr>
      </w:pPr>
      <w:r w:rsidRPr="00500056">
        <w:rPr>
          <w:rFonts w:ascii="黑体" w:eastAsia="黑体" w:hAnsi="黑体" w:hint="eastAsia"/>
          <w:sz w:val="24"/>
        </w:rPr>
        <w:t xml:space="preserve">5  </w:t>
      </w:r>
      <w:r w:rsidR="007517B9" w:rsidRPr="00500056">
        <w:rPr>
          <w:rFonts w:ascii="黑体" w:eastAsia="黑体" w:hAnsi="黑体" w:hint="eastAsia"/>
          <w:sz w:val="24"/>
        </w:rPr>
        <w:t>建议本标准作为推荐性标准发布实施，标准号为GB/T</w:t>
      </w:r>
      <w:r w:rsidR="002D65C2" w:rsidRPr="00500056">
        <w:rPr>
          <w:rFonts w:ascii="黑体" w:eastAsia="黑体" w:hAnsi="黑体" w:hint="eastAsia"/>
          <w:sz w:val="24"/>
        </w:rPr>
        <w:t xml:space="preserve"> </w:t>
      </w:r>
      <w:r w:rsidR="006F7F55">
        <w:rPr>
          <w:rFonts w:ascii="黑体" w:eastAsia="黑体" w:hAnsi="黑体" w:hint="eastAsia"/>
          <w:sz w:val="24"/>
        </w:rPr>
        <w:t>8300</w:t>
      </w:r>
      <w:r w:rsidR="00412039" w:rsidRPr="00500056">
        <w:rPr>
          <w:rFonts w:ascii="黑体" w:eastAsia="黑体" w:hAnsi="黑体" w:hint="eastAsia"/>
          <w:sz w:val="24"/>
        </w:rPr>
        <w:t>-20XX</w:t>
      </w:r>
      <w:r w:rsidR="007517B9" w:rsidRPr="00500056">
        <w:rPr>
          <w:rFonts w:ascii="黑体" w:eastAsia="黑体" w:hAnsi="黑体" w:hint="eastAsia"/>
          <w:sz w:val="24"/>
        </w:rPr>
        <w:t>。</w:t>
      </w:r>
    </w:p>
    <w:p w:rsidR="007517B9" w:rsidRPr="00451EC5" w:rsidRDefault="005D5F72" w:rsidP="005D5F72">
      <w:pPr>
        <w:spacing w:line="360" w:lineRule="auto"/>
        <w:rPr>
          <w:rFonts w:ascii="宋体" w:hAnsi="宋体"/>
          <w:sz w:val="24"/>
        </w:rPr>
      </w:pPr>
      <w:r w:rsidRPr="00451EC5">
        <w:rPr>
          <w:rFonts w:ascii="黑体" w:eastAsia="黑体" w:hAnsi="黑体" w:hint="eastAsia"/>
          <w:sz w:val="24"/>
        </w:rPr>
        <w:t xml:space="preserve">6 </w:t>
      </w:r>
      <w:r w:rsidRPr="00451EC5">
        <w:rPr>
          <w:rFonts w:ascii="宋体" w:hAnsi="宋体" w:hint="eastAsia"/>
          <w:sz w:val="24"/>
        </w:rPr>
        <w:t xml:space="preserve"> </w:t>
      </w:r>
      <w:r w:rsidR="007517B9" w:rsidRPr="00451EC5">
        <w:rPr>
          <w:rFonts w:ascii="宋体" w:hAnsi="宋体" w:hint="eastAsia"/>
          <w:sz w:val="24"/>
        </w:rPr>
        <w:t>本标准宣贯时应包括系列内容：</w:t>
      </w:r>
    </w:p>
    <w:p w:rsidR="007517B9" w:rsidRPr="007D6720" w:rsidRDefault="007517B9" w:rsidP="00E775BC">
      <w:pPr>
        <w:spacing w:line="360" w:lineRule="auto"/>
        <w:rPr>
          <w:rFonts w:ascii="宋体" w:hAnsi="宋体"/>
          <w:sz w:val="24"/>
        </w:rPr>
      </w:pPr>
      <w:r w:rsidRPr="007D6720">
        <w:rPr>
          <w:rFonts w:ascii="宋体" w:hAnsi="宋体" w:hint="eastAsia"/>
          <w:sz w:val="24"/>
        </w:rPr>
        <w:t xml:space="preserve">   （1）介绍本标准修订的原因、过程及意义；</w:t>
      </w:r>
    </w:p>
    <w:p w:rsidR="007517B9" w:rsidRPr="007D6720" w:rsidRDefault="007517B9" w:rsidP="00E775BC">
      <w:pPr>
        <w:spacing w:line="360" w:lineRule="auto"/>
        <w:rPr>
          <w:rFonts w:ascii="宋体" w:hAnsi="宋体"/>
          <w:sz w:val="24"/>
        </w:rPr>
      </w:pPr>
      <w:r w:rsidRPr="007D6720">
        <w:rPr>
          <w:rFonts w:ascii="宋体" w:hAnsi="宋体" w:hint="eastAsia"/>
          <w:sz w:val="24"/>
        </w:rPr>
        <w:t xml:space="preserve">   （2）介绍和解释本标准的主要技术内容；</w:t>
      </w:r>
    </w:p>
    <w:p w:rsidR="007517B9" w:rsidRPr="007D6720" w:rsidRDefault="007517B9" w:rsidP="00E775BC">
      <w:pPr>
        <w:spacing w:line="360" w:lineRule="auto"/>
        <w:rPr>
          <w:rFonts w:ascii="宋体" w:hAnsi="宋体"/>
          <w:sz w:val="24"/>
        </w:rPr>
      </w:pPr>
      <w:r w:rsidRPr="007D6720">
        <w:rPr>
          <w:rFonts w:ascii="宋体" w:hAnsi="宋体" w:hint="eastAsia"/>
          <w:sz w:val="24"/>
        </w:rPr>
        <w:t xml:space="preserve">   （3）本标准实施过程中可能遇到的问题及解决办法。</w:t>
      </w:r>
    </w:p>
    <w:p w:rsidR="007517B9" w:rsidRPr="00500056" w:rsidRDefault="00D91FFD" w:rsidP="00E775BC">
      <w:pPr>
        <w:spacing w:line="360" w:lineRule="auto"/>
        <w:rPr>
          <w:rFonts w:ascii="黑体" w:eastAsia="黑体" w:hAnsi="黑体"/>
          <w:sz w:val="24"/>
        </w:rPr>
      </w:pPr>
      <w:r w:rsidRPr="00500056">
        <w:rPr>
          <w:rFonts w:ascii="黑体" w:eastAsia="黑体" w:hAnsi="黑体" w:hint="eastAsia"/>
          <w:b/>
          <w:sz w:val="24"/>
        </w:rPr>
        <w:t xml:space="preserve"> </w:t>
      </w:r>
      <w:r w:rsidR="005D5F72" w:rsidRPr="00500056">
        <w:rPr>
          <w:rFonts w:ascii="黑体" w:eastAsia="黑体" w:hAnsi="黑体" w:hint="eastAsia"/>
          <w:b/>
          <w:sz w:val="24"/>
        </w:rPr>
        <w:t xml:space="preserve">7  </w:t>
      </w:r>
      <w:r w:rsidR="007517B9" w:rsidRPr="00500056">
        <w:rPr>
          <w:rFonts w:ascii="黑体" w:eastAsia="黑体" w:hAnsi="黑体" w:hint="eastAsia"/>
          <w:sz w:val="24"/>
        </w:rPr>
        <w:t>本标准宣贯时建议采用下列形式：</w:t>
      </w:r>
    </w:p>
    <w:p w:rsidR="007517B9" w:rsidRPr="007D6720" w:rsidRDefault="007517B9" w:rsidP="00E775BC">
      <w:pPr>
        <w:spacing w:line="360" w:lineRule="auto"/>
        <w:rPr>
          <w:rFonts w:ascii="宋体" w:hAnsi="宋体"/>
          <w:sz w:val="24"/>
        </w:rPr>
      </w:pPr>
      <w:r w:rsidRPr="007D6720">
        <w:rPr>
          <w:rFonts w:ascii="宋体" w:hAnsi="宋体" w:hint="eastAsia"/>
          <w:sz w:val="24"/>
        </w:rPr>
        <w:lastRenderedPageBreak/>
        <w:t xml:space="preserve">   （1）举办有关生产使用企业和检验机构的有关人员参加的标准宣贯培训班；</w:t>
      </w:r>
    </w:p>
    <w:p w:rsidR="007517B9" w:rsidRPr="007D6720" w:rsidRDefault="007517B9" w:rsidP="00E775BC">
      <w:pPr>
        <w:spacing w:line="360" w:lineRule="auto"/>
        <w:rPr>
          <w:rFonts w:ascii="宋体" w:hAnsi="宋体"/>
          <w:sz w:val="24"/>
        </w:rPr>
      </w:pPr>
      <w:r w:rsidRPr="007D6720">
        <w:rPr>
          <w:rFonts w:ascii="宋体" w:hAnsi="宋体" w:hint="eastAsia"/>
          <w:sz w:val="24"/>
        </w:rPr>
        <w:t xml:space="preserve">   （2）由本标准起草人员到有关企业和检验机构，对相关人员进行现场宣讲、示范操作。</w:t>
      </w:r>
    </w:p>
    <w:p w:rsidR="00333D3D" w:rsidRDefault="00333D3D" w:rsidP="00E775BC">
      <w:pPr>
        <w:spacing w:line="360" w:lineRule="auto"/>
        <w:rPr>
          <w:rFonts w:ascii="宋体" w:hAnsi="宋体"/>
          <w:sz w:val="24"/>
        </w:rPr>
      </w:pPr>
    </w:p>
    <w:p w:rsidR="00333D3D" w:rsidRDefault="00333D3D" w:rsidP="00E775BC">
      <w:pPr>
        <w:spacing w:line="360" w:lineRule="auto"/>
        <w:rPr>
          <w:rFonts w:ascii="宋体" w:hAnsi="宋体"/>
          <w:sz w:val="24"/>
        </w:rPr>
      </w:pPr>
    </w:p>
    <w:p w:rsidR="00333D3D" w:rsidRPr="007D6720" w:rsidRDefault="00333D3D" w:rsidP="00E775BC">
      <w:pPr>
        <w:spacing w:line="360" w:lineRule="auto"/>
        <w:rPr>
          <w:rFonts w:ascii="宋体" w:hAnsi="宋体"/>
          <w:sz w:val="24"/>
        </w:rPr>
      </w:pPr>
    </w:p>
    <w:p w:rsidR="00E25B82" w:rsidRPr="007D6720" w:rsidRDefault="00E25B82" w:rsidP="00E775BC">
      <w:pPr>
        <w:spacing w:line="360" w:lineRule="auto"/>
        <w:rPr>
          <w:rFonts w:ascii="宋体" w:hAnsi="宋体"/>
          <w:sz w:val="24"/>
        </w:rPr>
      </w:pPr>
    </w:p>
    <w:p w:rsidR="00E25B82" w:rsidRPr="007D6720" w:rsidRDefault="003C0BCA" w:rsidP="00E25B82">
      <w:pPr>
        <w:wordWrap w:val="0"/>
        <w:spacing w:line="360" w:lineRule="auto"/>
        <w:jc w:val="right"/>
        <w:rPr>
          <w:rFonts w:ascii="宋体" w:hAnsi="宋体"/>
          <w:sz w:val="24"/>
        </w:rPr>
      </w:pPr>
      <w:r w:rsidRPr="003C0BCA">
        <w:rPr>
          <w:rFonts w:ascii="宋体" w:hAnsi="宋体" w:hint="eastAsia"/>
          <w:sz w:val="24"/>
        </w:rPr>
        <w:t>《浓缩天然胶乳</w:t>
      </w:r>
      <w:r w:rsidRPr="003C0BCA">
        <w:rPr>
          <w:rFonts w:ascii="宋体" w:hAnsi="宋体"/>
          <w:sz w:val="24"/>
        </w:rPr>
        <w:t xml:space="preserve"> </w:t>
      </w:r>
      <w:r w:rsidRPr="003C0BCA">
        <w:rPr>
          <w:rFonts w:ascii="宋体" w:hAnsi="宋体" w:hint="eastAsia"/>
          <w:sz w:val="24"/>
        </w:rPr>
        <w:t>碱度的测定》</w:t>
      </w:r>
      <w:r w:rsidR="00E25B82" w:rsidRPr="007D6720">
        <w:rPr>
          <w:rFonts w:ascii="宋体" w:hAnsi="宋体" w:hint="eastAsia"/>
          <w:sz w:val="24"/>
        </w:rPr>
        <w:t>修订小组</w:t>
      </w:r>
    </w:p>
    <w:p w:rsidR="00E25B82" w:rsidRPr="007D6720" w:rsidRDefault="00E6606C" w:rsidP="00E25B82">
      <w:pPr>
        <w:spacing w:line="360" w:lineRule="auto"/>
        <w:jc w:val="right"/>
        <w:rPr>
          <w:rFonts w:ascii="宋体" w:hAnsi="宋体"/>
          <w:sz w:val="24"/>
        </w:rPr>
      </w:pPr>
      <w:r w:rsidRPr="007D6720">
        <w:rPr>
          <w:rFonts w:ascii="宋体" w:hAnsi="宋体" w:hint="eastAsia"/>
          <w:sz w:val="24"/>
        </w:rPr>
        <w:t>201</w:t>
      </w:r>
      <w:r>
        <w:rPr>
          <w:rFonts w:ascii="宋体" w:hAnsi="宋体" w:hint="eastAsia"/>
          <w:sz w:val="24"/>
        </w:rPr>
        <w:t>5</w:t>
      </w:r>
      <w:r w:rsidRPr="007D6720">
        <w:rPr>
          <w:rFonts w:ascii="宋体" w:hAnsi="宋体" w:hint="eastAsia"/>
          <w:sz w:val="24"/>
        </w:rPr>
        <w:t>年</w:t>
      </w:r>
      <w:r>
        <w:rPr>
          <w:rFonts w:ascii="宋体" w:hAnsi="宋体" w:hint="eastAsia"/>
          <w:sz w:val="24"/>
        </w:rPr>
        <w:t>5</w:t>
      </w:r>
      <w:r w:rsidR="00E25B82" w:rsidRPr="007D6720">
        <w:rPr>
          <w:rFonts w:ascii="宋体" w:hAnsi="宋体" w:hint="eastAsia"/>
          <w:sz w:val="24"/>
        </w:rPr>
        <w:t>月</w:t>
      </w:r>
      <w:r>
        <w:rPr>
          <w:rFonts w:ascii="宋体" w:hAnsi="宋体" w:hint="eastAsia"/>
          <w:sz w:val="24"/>
        </w:rPr>
        <w:t>6</w:t>
      </w:r>
      <w:r w:rsidR="00E25B82" w:rsidRPr="007D6720">
        <w:rPr>
          <w:rFonts w:ascii="宋体" w:hAnsi="宋体" w:hint="eastAsia"/>
          <w:sz w:val="24"/>
        </w:rPr>
        <w:t>日</w:t>
      </w:r>
    </w:p>
    <w:p w:rsidR="004A2DF7" w:rsidRDefault="0017403F">
      <w:r>
        <w:rPr>
          <w:rFonts w:ascii="宋体" w:hAnsi="宋体" w:hint="eastAsia"/>
          <w:b/>
          <w:sz w:val="24"/>
        </w:rPr>
        <w:t xml:space="preserve">    </w:t>
      </w:r>
    </w:p>
    <w:sectPr w:rsidR="004A2DF7" w:rsidSect="005E59F9">
      <w:headerReference w:type="default" r:id="rId8"/>
      <w:footerReference w:type="even" r:id="rId9"/>
      <w:footerReference w:type="default" r:id="rId10"/>
      <w:pgSz w:w="11906" w:h="16838"/>
      <w:pgMar w:top="1361" w:right="1418" w:bottom="1361" w:left="1418"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837" w:rsidRDefault="00634837">
      <w:r>
        <w:separator/>
      </w:r>
    </w:p>
  </w:endnote>
  <w:endnote w:type="continuationSeparator" w:id="1">
    <w:p w:rsidR="00634837" w:rsidRDefault="00634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D7" w:rsidRDefault="001726AE" w:rsidP="00A907BC">
    <w:pPr>
      <w:pStyle w:val="a4"/>
      <w:framePr w:wrap="around" w:vAnchor="text" w:hAnchor="margin" w:xAlign="center" w:y="1"/>
      <w:rPr>
        <w:rStyle w:val="a7"/>
      </w:rPr>
    </w:pPr>
    <w:r>
      <w:rPr>
        <w:rStyle w:val="a7"/>
      </w:rPr>
      <w:fldChar w:fldCharType="begin"/>
    </w:r>
    <w:r w:rsidR="00FC72D7">
      <w:rPr>
        <w:rStyle w:val="a7"/>
      </w:rPr>
      <w:instrText xml:space="preserve">PAGE  </w:instrText>
    </w:r>
    <w:r>
      <w:rPr>
        <w:rStyle w:val="a7"/>
      </w:rPr>
      <w:fldChar w:fldCharType="end"/>
    </w:r>
  </w:p>
  <w:p w:rsidR="00FC72D7" w:rsidRDefault="00FC72D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D7" w:rsidRDefault="001726AE" w:rsidP="00A907BC">
    <w:pPr>
      <w:pStyle w:val="a4"/>
      <w:framePr w:wrap="around" w:vAnchor="text" w:hAnchor="margin" w:xAlign="center" w:y="1"/>
      <w:rPr>
        <w:rStyle w:val="a7"/>
      </w:rPr>
    </w:pPr>
    <w:r>
      <w:rPr>
        <w:rStyle w:val="a7"/>
      </w:rPr>
      <w:fldChar w:fldCharType="begin"/>
    </w:r>
    <w:r w:rsidR="00FC72D7">
      <w:rPr>
        <w:rStyle w:val="a7"/>
      </w:rPr>
      <w:instrText xml:space="preserve">PAGE  </w:instrText>
    </w:r>
    <w:r>
      <w:rPr>
        <w:rStyle w:val="a7"/>
      </w:rPr>
      <w:fldChar w:fldCharType="separate"/>
    </w:r>
    <w:r w:rsidR="00462462">
      <w:rPr>
        <w:rStyle w:val="a7"/>
        <w:noProof/>
      </w:rPr>
      <w:t>5</w:t>
    </w:r>
    <w:r>
      <w:rPr>
        <w:rStyle w:val="a7"/>
      </w:rPr>
      <w:fldChar w:fldCharType="end"/>
    </w:r>
  </w:p>
  <w:p w:rsidR="00FC72D7" w:rsidRDefault="00FC72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837" w:rsidRDefault="00634837">
      <w:r>
        <w:separator/>
      </w:r>
    </w:p>
  </w:footnote>
  <w:footnote w:type="continuationSeparator" w:id="1">
    <w:p w:rsidR="00634837" w:rsidRDefault="00634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D7" w:rsidRDefault="00FC72D7" w:rsidP="005D5F7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6F1F"/>
    <w:multiLevelType w:val="hybridMultilevel"/>
    <w:tmpl w:val="114032D2"/>
    <w:lvl w:ilvl="0" w:tplc="99ACE9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FC6562"/>
    <w:multiLevelType w:val="hybridMultilevel"/>
    <w:tmpl w:val="F5462CC6"/>
    <w:lvl w:ilvl="0" w:tplc="C9F664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5034185"/>
    <w:multiLevelType w:val="hybridMultilevel"/>
    <w:tmpl w:val="A184E4D0"/>
    <w:lvl w:ilvl="0" w:tplc="033671A8">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9B43A2D"/>
    <w:multiLevelType w:val="hybridMultilevel"/>
    <w:tmpl w:val="952E782C"/>
    <w:lvl w:ilvl="0" w:tplc="55AAD144">
      <w:start w:val="2"/>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89324E"/>
    <w:multiLevelType w:val="multilevel"/>
    <w:tmpl w:val="1452F922"/>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Ansi="Times New Roman" w:hint="default"/>
      </w:rPr>
    </w:lvl>
    <w:lvl w:ilvl="2">
      <w:start w:val="1"/>
      <w:numFmt w:val="decimal"/>
      <w:isLgl/>
      <w:lvlText w:val="%1.%2.%3"/>
      <w:lvlJc w:val="left"/>
      <w:pPr>
        <w:tabs>
          <w:tab w:val="num" w:pos="720"/>
        </w:tabs>
        <w:ind w:left="720" w:hanging="720"/>
      </w:pPr>
      <w:rPr>
        <w:rFonts w:hAnsi="Times New Roman" w:hint="default"/>
      </w:rPr>
    </w:lvl>
    <w:lvl w:ilvl="3">
      <w:start w:val="1"/>
      <w:numFmt w:val="decimal"/>
      <w:isLgl/>
      <w:lvlText w:val="%1.%2.%3.%4"/>
      <w:lvlJc w:val="left"/>
      <w:pPr>
        <w:tabs>
          <w:tab w:val="num" w:pos="1080"/>
        </w:tabs>
        <w:ind w:left="1080" w:hanging="1080"/>
      </w:pPr>
      <w:rPr>
        <w:rFonts w:hAnsi="Times New Roman" w:hint="default"/>
      </w:rPr>
    </w:lvl>
    <w:lvl w:ilvl="4">
      <w:start w:val="1"/>
      <w:numFmt w:val="decimal"/>
      <w:isLgl/>
      <w:lvlText w:val="%1.%2.%3.%4.%5"/>
      <w:lvlJc w:val="left"/>
      <w:pPr>
        <w:tabs>
          <w:tab w:val="num" w:pos="1080"/>
        </w:tabs>
        <w:ind w:left="1080" w:hanging="1080"/>
      </w:pPr>
      <w:rPr>
        <w:rFonts w:hAnsi="Times New Roman" w:hint="default"/>
      </w:rPr>
    </w:lvl>
    <w:lvl w:ilvl="5">
      <w:start w:val="1"/>
      <w:numFmt w:val="decimal"/>
      <w:isLgl/>
      <w:lvlText w:val="%1.%2.%3.%4.%5.%6"/>
      <w:lvlJc w:val="left"/>
      <w:pPr>
        <w:tabs>
          <w:tab w:val="num" w:pos="1440"/>
        </w:tabs>
        <w:ind w:left="1440" w:hanging="1440"/>
      </w:pPr>
      <w:rPr>
        <w:rFonts w:hAnsi="Times New Roman" w:hint="default"/>
      </w:rPr>
    </w:lvl>
    <w:lvl w:ilvl="6">
      <w:start w:val="1"/>
      <w:numFmt w:val="decimal"/>
      <w:isLgl/>
      <w:lvlText w:val="%1.%2.%3.%4.%5.%6.%7"/>
      <w:lvlJc w:val="left"/>
      <w:pPr>
        <w:tabs>
          <w:tab w:val="num" w:pos="1800"/>
        </w:tabs>
        <w:ind w:left="1800" w:hanging="1800"/>
      </w:pPr>
      <w:rPr>
        <w:rFonts w:hAnsi="Times New Roman" w:hint="default"/>
      </w:rPr>
    </w:lvl>
    <w:lvl w:ilvl="7">
      <w:start w:val="1"/>
      <w:numFmt w:val="decimal"/>
      <w:isLgl/>
      <w:lvlText w:val="%1.%2.%3.%4.%5.%6.%7.%8"/>
      <w:lvlJc w:val="left"/>
      <w:pPr>
        <w:tabs>
          <w:tab w:val="num" w:pos="1800"/>
        </w:tabs>
        <w:ind w:left="1800" w:hanging="1800"/>
      </w:pPr>
      <w:rPr>
        <w:rFonts w:hAnsi="Times New Roman" w:hint="default"/>
      </w:rPr>
    </w:lvl>
    <w:lvl w:ilvl="8">
      <w:start w:val="1"/>
      <w:numFmt w:val="decimal"/>
      <w:isLgl/>
      <w:lvlText w:val="%1.%2.%3.%4.%5.%6.%7.%8.%9"/>
      <w:lvlJc w:val="left"/>
      <w:pPr>
        <w:tabs>
          <w:tab w:val="num" w:pos="2160"/>
        </w:tabs>
        <w:ind w:left="2160" w:hanging="2160"/>
      </w:pPr>
      <w:rPr>
        <w:rFonts w:hAnsi="Times New Roman" w:hint="default"/>
      </w:rPr>
    </w:lvl>
  </w:abstractNum>
  <w:abstractNum w:abstractNumId="5">
    <w:nsid w:val="69467E10"/>
    <w:multiLevelType w:val="hybridMultilevel"/>
    <w:tmpl w:val="E6EA631A"/>
    <w:lvl w:ilvl="0" w:tplc="48BCE4DC">
      <w:start w:val="1"/>
      <w:numFmt w:val="bullet"/>
      <w:lvlText w:val=""/>
      <w:lvlJc w:val="left"/>
      <w:pPr>
        <w:tabs>
          <w:tab w:val="num" w:pos="720"/>
        </w:tabs>
        <w:ind w:left="720" w:hanging="360"/>
      </w:pPr>
      <w:rPr>
        <w:rFonts w:ascii="Wingdings" w:hAnsi="Wingdings" w:hint="default"/>
      </w:rPr>
    </w:lvl>
    <w:lvl w:ilvl="1" w:tplc="679E93BE" w:tentative="1">
      <w:start w:val="1"/>
      <w:numFmt w:val="bullet"/>
      <w:lvlText w:val=""/>
      <w:lvlJc w:val="left"/>
      <w:pPr>
        <w:tabs>
          <w:tab w:val="num" w:pos="1440"/>
        </w:tabs>
        <w:ind w:left="1440" w:hanging="360"/>
      </w:pPr>
      <w:rPr>
        <w:rFonts w:ascii="Wingdings" w:hAnsi="Wingdings" w:hint="default"/>
      </w:rPr>
    </w:lvl>
    <w:lvl w:ilvl="2" w:tplc="73223DA8" w:tentative="1">
      <w:start w:val="1"/>
      <w:numFmt w:val="bullet"/>
      <w:lvlText w:val=""/>
      <w:lvlJc w:val="left"/>
      <w:pPr>
        <w:tabs>
          <w:tab w:val="num" w:pos="2160"/>
        </w:tabs>
        <w:ind w:left="2160" w:hanging="360"/>
      </w:pPr>
      <w:rPr>
        <w:rFonts w:ascii="Wingdings" w:hAnsi="Wingdings" w:hint="default"/>
      </w:rPr>
    </w:lvl>
    <w:lvl w:ilvl="3" w:tplc="CE0AF7C4" w:tentative="1">
      <w:start w:val="1"/>
      <w:numFmt w:val="bullet"/>
      <w:lvlText w:val=""/>
      <w:lvlJc w:val="left"/>
      <w:pPr>
        <w:tabs>
          <w:tab w:val="num" w:pos="2880"/>
        </w:tabs>
        <w:ind w:left="2880" w:hanging="360"/>
      </w:pPr>
      <w:rPr>
        <w:rFonts w:ascii="Wingdings" w:hAnsi="Wingdings" w:hint="default"/>
      </w:rPr>
    </w:lvl>
    <w:lvl w:ilvl="4" w:tplc="C810858C" w:tentative="1">
      <w:start w:val="1"/>
      <w:numFmt w:val="bullet"/>
      <w:lvlText w:val=""/>
      <w:lvlJc w:val="left"/>
      <w:pPr>
        <w:tabs>
          <w:tab w:val="num" w:pos="3600"/>
        </w:tabs>
        <w:ind w:left="3600" w:hanging="360"/>
      </w:pPr>
      <w:rPr>
        <w:rFonts w:ascii="Wingdings" w:hAnsi="Wingdings" w:hint="default"/>
      </w:rPr>
    </w:lvl>
    <w:lvl w:ilvl="5" w:tplc="CD1E9472" w:tentative="1">
      <w:start w:val="1"/>
      <w:numFmt w:val="bullet"/>
      <w:lvlText w:val=""/>
      <w:lvlJc w:val="left"/>
      <w:pPr>
        <w:tabs>
          <w:tab w:val="num" w:pos="4320"/>
        </w:tabs>
        <w:ind w:left="4320" w:hanging="360"/>
      </w:pPr>
      <w:rPr>
        <w:rFonts w:ascii="Wingdings" w:hAnsi="Wingdings" w:hint="default"/>
      </w:rPr>
    </w:lvl>
    <w:lvl w:ilvl="6" w:tplc="77B82D8A" w:tentative="1">
      <w:start w:val="1"/>
      <w:numFmt w:val="bullet"/>
      <w:lvlText w:val=""/>
      <w:lvlJc w:val="left"/>
      <w:pPr>
        <w:tabs>
          <w:tab w:val="num" w:pos="5040"/>
        </w:tabs>
        <w:ind w:left="5040" w:hanging="360"/>
      </w:pPr>
      <w:rPr>
        <w:rFonts w:ascii="Wingdings" w:hAnsi="Wingdings" w:hint="default"/>
      </w:rPr>
    </w:lvl>
    <w:lvl w:ilvl="7" w:tplc="4E9E87F4" w:tentative="1">
      <w:start w:val="1"/>
      <w:numFmt w:val="bullet"/>
      <w:lvlText w:val=""/>
      <w:lvlJc w:val="left"/>
      <w:pPr>
        <w:tabs>
          <w:tab w:val="num" w:pos="5760"/>
        </w:tabs>
        <w:ind w:left="5760" w:hanging="360"/>
      </w:pPr>
      <w:rPr>
        <w:rFonts w:ascii="Wingdings" w:hAnsi="Wingdings" w:hint="default"/>
      </w:rPr>
    </w:lvl>
    <w:lvl w:ilvl="8" w:tplc="28B067D6" w:tentative="1">
      <w:start w:val="1"/>
      <w:numFmt w:val="bullet"/>
      <w:lvlText w:val=""/>
      <w:lvlJc w:val="left"/>
      <w:pPr>
        <w:tabs>
          <w:tab w:val="num" w:pos="6480"/>
        </w:tabs>
        <w:ind w:left="6480" w:hanging="360"/>
      </w:pPr>
      <w:rPr>
        <w:rFonts w:ascii="Wingdings" w:hAnsi="Wingdings" w:hint="default"/>
      </w:rPr>
    </w:lvl>
  </w:abstractNum>
  <w:abstractNum w:abstractNumId="6">
    <w:nsid w:val="6C2C174A"/>
    <w:multiLevelType w:val="hybridMultilevel"/>
    <w:tmpl w:val="323C84A8"/>
    <w:lvl w:ilvl="0" w:tplc="9B3A6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C787DC4"/>
    <w:multiLevelType w:val="hybridMultilevel"/>
    <w:tmpl w:val="2D5A5E42"/>
    <w:lvl w:ilvl="0" w:tplc="97788104">
      <w:start w:val="1"/>
      <w:numFmt w:val="decimal"/>
      <w:lvlText w:val="%1、"/>
      <w:lvlJc w:val="left"/>
      <w:pPr>
        <w:tabs>
          <w:tab w:val="num" w:pos="390"/>
        </w:tabs>
        <w:ind w:left="390" w:hanging="390"/>
      </w:pPr>
      <w:rPr>
        <w:rFonts w:ascii="宋体" w:eastAsia="宋体" w:hAnsi="Times New Roman" w:cs="Times New Roman"/>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54D5465"/>
    <w:multiLevelType w:val="hybridMultilevel"/>
    <w:tmpl w:val="183C38FE"/>
    <w:lvl w:ilvl="0" w:tplc="623AA04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5"/>
  </w:num>
  <w:num w:numId="3">
    <w:abstractNumId w:val="3"/>
  </w:num>
  <w:num w:numId="4">
    <w:abstractNumId w:val="2"/>
  </w:num>
  <w:num w:numId="5">
    <w:abstractNumId w:val="0"/>
  </w:num>
  <w:num w:numId="6">
    <w:abstractNumId w:val="8"/>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embedSystemFonts/>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A27"/>
    <w:rsid w:val="00002CEC"/>
    <w:rsid w:val="00003690"/>
    <w:rsid w:val="00004427"/>
    <w:rsid w:val="000054FA"/>
    <w:rsid w:val="000056DD"/>
    <w:rsid w:val="000061D5"/>
    <w:rsid w:val="00006AAA"/>
    <w:rsid w:val="00011238"/>
    <w:rsid w:val="00014CFE"/>
    <w:rsid w:val="00014E2A"/>
    <w:rsid w:val="000201BA"/>
    <w:rsid w:val="0002296C"/>
    <w:rsid w:val="000253BD"/>
    <w:rsid w:val="000275CD"/>
    <w:rsid w:val="00027CCC"/>
    <w:rsid w:val="0003093D"/>
    <w:rsid w:val="00032F10"/>
    <w:rsid w:val="00034332"/>
    <w:rsid w:val="00036087"/>
    <w:rsid w:val="00037C30"/>
    <w:rsid w:val="000413D0"/>
    <w:rsid w:val="00044A1C"/>
    <w:rsid w:val="00045A6D"/>
    <w:rsid w:val="0004641B"/>
    <w:rsid w:val="00046DEB"/>
    <w:rsid w:val="0005141A"/>
    <w:rsid w:val="00054EA1"/>
    <w:rsid w:val="00055CCD"/>
    <w:rsid w:val="00056C53"/>
    <w:rsid w:val="000573EA"/>
    <w:rsid w:val="00060012"/>
    <w:rsid w:val="00060525"/>
    <w:rsid w:val="000623F2"/>
    <w:rsid w:val="0006331D"/>
    <w:rsid w:val="00067EED"/>
    <w:rsid w:val="000717BA"/>
    <w:rsid w:val="00071E86"/>
    <w:rsid w:val="0007298A"/>
    <w:rsid w:val="0007399A"/>
    <w:rsid w:val="00074BC1"/>
    <w:rsid w:val="00076C2D"/>
    <w:rsid w:val="000779C3"/>
    <w:rsid w:val="000802FD"/>
    <w:rsid w:val="0008229E"/>
    <w:rsid w:val="00085EB0"/>
    <w:rsid w:val="000871AA"/>
    <w:rsid w:val="00087C3B"/>
    <w:rsid w:val="000902DA"/>
    <w:rsid w:val="0009138D"/>
    <w:rsid w:val="00092B54"/>
    <w:rsid w:val="0009331B"/>
    <w:rsid w:val="0009346F"/>
    <w:rsid w:val="000937DB"/>
    <w:rsid w:val="00094723"/>
    <w:rsid w:val="000A0104"/>
    <w:rsid w:val="000A023A"/>
    <w:rsid w:val="000A1128"/>
    <w:rsid w:val="000A4E64"/>
    <w:rsid w:val="000B3AD6"/>
    <w:rsid w:val="000B6777"/>
    <w:rsid w:val="000B796B"/>
    <w:rsid w:val="000C0A4C"/>
    <w:rsid w:val="000C1944"/>
    <w:rsid w:val="000C1A8F"/>
    <w:rsid w:val="000C3A61"/>
    <w:rsid w:val="000C3C6D"/>
    <w:rsid w:val="000C4BB2"/>
    <w:rsid w:val="000D1CD6"/>
    <w:rsid w:val="000D26D9"/>
    <w:rsid w:val="000D399A"/>
    <w:rsid w:val="000E490D"/>
    <w:rsid w:val="000E4BB5"/>
    <w:rsid w:val="000F012E"/>
    <w:rsid w:val="001002A3"/>
    <w:rsid w:val="001047DA"/>
    <w:rsid w:val="0010663A"/>
    <w:rsid w:val="00106E66"/>
    <w:rsid w:val="00111BBD"/>
    <w:rsid w:val="00117802"/>
    <w:rsid w:val="00122455"/>
    <w:rsid w:val="00130412"/>
    <w:rsid w:val="00133588"/>
    <w:rsid w:val="0013534C"/>
    <w:rsid w:val="00135498"/>
    <w:rsid w:val="001357E9"/>
    <w:rsid w:val="0014112E"/>
    <w:rsid w:val="00143270"/>
    <w:rsid w:val="00143B67"/>
    <w:rsid w:val="00144358"/>
    <w:rsid w:val="00146AE2"/>
    <w:rsid w:val="001471B0"/>
    <w:rsid w:val="00147864"/>
    <w:rsid w:val="001518FA"/>
    <w:rsid w:val="0015343E"/>
    <w:rsid w:val="0015360A"/>
    <w:rsid w:val="00153A00"/>
    <w:rsid w:val="001551F4"/>
    <w:rsid w:val="00156FCE"/>
    <w:rsid w:val="00160E39"/>
    <w:rsid w:val="001624A7"/>
    <w:rsid w:val="001644D4"/>
    <w:rsid w:val="00171E09"/>
    <w:rsid w:val="001726AE"/>
    <w:rsid w:val="001736F0"/>
    <w:rsid w:val="0017403F"/>
    <w:rsid w:val="00175FFC"/>
    <w:rsid w:val="0018040E"/>
    <w:rsid w:val="001823A2"/>
    <w:rsid w:val="00182E65"/>
    <w:rsid w:val="00187362"/>
    <w:rsid w:val="00187504"/>
    <w:rsid w:val="001941D6"/>
    <w:rsid w:val="00195324"/>
    <w:rsid w:val="0019715D"/>
    <w:rsid w:val="001973E2"/>
    <w:rsid w:val="001A27CB"/>
    <w:rsid w:val="001A2EB1"/>
    <w:rsid w:val="001A457D"/>
    <w:rsid w:val="001A4E87"/>
    <w:rsid w:val="001B034A"/>
    <w:rsid w:val="001B05F9"/>
    <w:rsid w:val="001B49FB"/>
    <w:rsid w:val="001B4CD1"/>
    <w:rsid w:val="001B6116"/>
    <w:rsid w:val="001B6191"/>
    <w:rsid w:val="001B636C"/>
    <w:rsid w:val="001C03AF"/>
    <w:rsid w:val="001C064F"/>
    <w:rsid w:val="001C16E2"/>
    <w:rsid w:val="001C5778"/>
    <w:rsid w:val="001C686E"/>
    <w:rsid w:val="001D0D18"/>
    <w:rsid w:val="001D2CB8"/>
    <w:rsid w:val="001D523A"/>
    <w:rsid w:val="001D5480"/>
    <w:rsid w:val="001D7771"/>
    <w:rsid w:val="001E0E66"/>
    <w:rsid w:val="001E30DE"/>
    <w:rsid w:val="001F31F4"/>
    <w:rsid w:val="001F3475"/>
    <w:rsid w:val="001F70B3"/>
    <w:rsid w:val="001F7448"/>
    <w:rsid w:val="001F7766"/>
    <w:rsid w:val="00201C73"/>
    <w:rsid w:val="002050A8"/>
    <w:rsid w:val="00205A97"/>
    <w:rsid w:val="0020778B"/>
    <w:rsid w:val="00210271"/>
    <w:rsid w:val="00216C96"/>
    <w:rsid w:val="00217E4C"/>
    <w:rsid w:val="00222054"/>
    <w:rsid w:val="002301DF"/>
    <w:rsid w:val="00230C48"/>
    <w:rsid w:val="002312E3"/>
    <w:rsid w:val="002357D9"/>
    <w:rsid w:val="0023641F"/>
    <w:rsid w:val="002405DA"/>
    <w:rsid w:val="00243F71"/>
    <w:rsid w:val="002455EC"/>
    <w:rsid w:val="00245B39"/>
    <w:rsid w:val="00245D31"/>
    <w:rsid w:val="0024744D"/>
    <w:rsid w:val="00247F11"/>
    <w:rsid w:val="0025288C"/>
    <w:rsid w:val="0025327D"/>
    <w:rsid w:val="00261B3B"/>
    <w:rsid w:val="00267AA4"/>
    <w:rsid w:val="0027300B"/>
    <w:rsid w:val="00273A88"/>
    <w:rsid w:val="002750AB"/>
    <w:rsid w:val="0028009E"/>
    <w:rsid w:val="002802E2"/>
    <w:rsid w:val="00281519"/>
    <w:rsid w:val="00281D39"/>
    <w:rsid w:val="00285193"/>
    <w:rsid w:val="002857CD"/>
    <w:rsid w:val="00286582"/>
    <w:rsid w:val="002900C8"/>
    <w:rsid w:val="00295D99"/>
    <w:rsid w:val="002962F5"/>
    <w:rsid w:val="002A17B5"/>
    <w:rsid w:val="002A1C87"/>
    <w:rsid w:val="002A213A"/>
    <w:rsid w:val="002A7B00"/>
    <w:rsid w:val="002B34D3"/>
    <w:rsid w:val="002B4A34"/>
    <w:rsid w:val="002B5A1F"/>
    <w:rsid w:val="002B7D02"/>
    <w:rsid w:val="002C14B5"/>
    <w:rsid w:val="002C298F"/>
    <w:rsid w:val="002C4C7F"/>
    <w:rsid w:val="002C581F"/>
    <w:rsid w:val="002D0343"/>
    <w:rsid w:val="002D1836"/>
    <w:rsid w:val="002D2E93"/>
    <w:rsid w:val="002D51DC"/>
    <w:rsid w:val="002D5C4F"/>
    <w:rsid w:val="002D65A8"/>
    <w:rsid w:val="002D65C2"/>
    <w:rsid w:val="002E4B86"/>
    <w:rsid w:val="002E5E4B"/>
    <w:rsid w:val="002F2CCE"/>
    <w:rsid w:val="002F2DD4"/>
    <w:rsid w:val="002F3FE6"/>
    <w:rsid w:val="002F7592"/>
    <w:rsid w:val="003052F0"/>
    <w:rsid w:val="00305432"/>
    <w:rsid w:val="00305D40"/>
    <w:rsid w:val="00306633"/>
    <w:rsid w:val="00310111"/>
    <w:rsid w:val="0031121C"/>
    <w:rsid w:val="00311309"/>
    <w:rsid w:val="00311BBA"/>
    <w:rsid w:val="00312EBA"/>
    <w:rsid w:val="003133DC"/>
    <w:rsid w:val="00314018"/>
    <w:rsid w:val="00316617"/>
    <w:rsid w:val="003201DE"/>
    <w:rsid w:val="00321B0E"/>
    <w:rsid w:val="00322C50"/>
    <w:rsid w:val="00325196"/>
    <w:rsid w:val="00327158"/>
    <w:rsid w:val="00331034"/>
    <w:rsid w:val="00333D3D"/>
    <w:rsid w:val="00335203"/>
    <w:rsid w:val="00335B92"/>
    <w:rsid w:val="00336046"/>
    <w:rsid w:val="003423E4"/>
    <w:rsid w:val="003448C9"/>
    <w:rsid w:val="00346838"/>
    <w:rsid w:val="00346F8D"/>
    <w:rsid w:val="00351D0A"/>
    <w:rsid w:val="00354323"/>
    <w:rsid w:val="00356014"/>
    <w:rsid w:val="003567C8"/>
    <w:rsid w:val="003605BD"/>
    <w:rsid w:val="00361921"/>
    <w:rsid w:val="00364FEE"/>
    <w:rsid w:val="00365B7F"/>
    <w:rsid w:val="00367514"/>
    <w:rsid w:val="00367E7E"/>
    <w:rsid w:val="003701BA"/>
    <w:rsid w:val="00371A2D"/>
    <w:rsid w:val="00374323"/>
    <w:rsid w:val="00375124"/>
    <w:rsid w:val="00375878"/>
    <w:rsid w:val="00377C81"/>
    <w:rsid w:val="00380D10"/>
    <w:rsid w:val="00386898"/>
    <w:rsid w:val="00386C82"/>
    <w:rsid w:val="003903BD"/>
    <w:rsid w:val="0039047C"/>
    <w:rsid w:val="00391D1D"/>
    <w:rsid w:val="00394132"/>
    <w:rsid w:val="0039427E"/>
    <w:rsid w:val="003974CE"/>
    <w:rsid w:val="003A0CCB"/>
    <w:rsid w:val="003A1F00"/>
    <w:rsid w:val="003A6D5A"/>
    <w:rsid w:val="003B1893"/>
    <w:rsid w:val="003B2416"/>
    <w:rsid w:val="003B3A52"/>
    <w:rsid w:val="003B477A"/>
    <w:rsid w:val="003B79E2"/>
    <w:rsid w:val="003C0BCA"/>
    <w:rsid w:val="003C0DC9"/>
    <w:rsid w:val="003C10F5"/>
    <w:rsid w:val="003C1450"/>
    <w:rsid w:val="003C4DD9"/>
    <w:rsid w:val="003C5415"/>
    <w:rsid w:val="003D14DD"/>
    <w:rsid w:val="003D241D"/>
    <w:rsid w:val="003D4C4A"/>
    <w:rsid w:val="003D5562"/>
    <w:rsid w:val="003D5B4F"/>
    <w:rsid w:val="003D5B68"/>
    <w:rsid w:val="003D70B4"/>
    <w:rsid w:val="003E2215"/>
    <w:rsid w:val="003E4169"/>
    <w:rsid w:val="003E6234"/>
    <w:rsid w:val="003E68F1"/>
    <w:rsid w:val="003E74DD"/>
    <w:rsid w:val="003F065C"/>
    <w:rsid w:val="003F2D85"/>
    <w:rsid w:val="003F48EF"/>
    <w:rsid w:val="003F6FF2"/>
    <w:rsid w:val="0040095A"/>
    <w:rsid w:val="00402452"/>
    <w:rsid w:val="004033BE"/>
    <w:rsid w:val="00404F47"/>
    <w:rsid w:val="004079DF"/>
    <w:rsid w:val="004102A6"/>
    <w:rsid w:val="00411D25"/>
    <w:rsid w:val="00412039"/>
    <w:rsid w:val="00415F44"/>
    <w:rsid w:val="00416AFF"/>
    <w:rsid w:val="00417151"/>
    <w:rsid w:val="004172ED"/>
    <w:rsid w:val="00431799"/>
    <w:rsid w:val="00435E70"/>
    <w:rsid w:val="00435F08"/>
    <w:rsid w:val="00440573"/>
    <w:rsid w:val="00442738"/>
    <w:rsid w:val="0044303E"/>
    <w:rsid w:val="00443211"/>
    <w:rsid w:val="0045103C"/>
    <w:rsid w:val="00451862"/>
    <w:rsid w:val="00451EC5"/>
    <w:rsid w:val="00452443"/>
    <w:rsid w:val="00453206"/>
    <w:rsid w:val="0045355B"/>
    <w:rsid w:val="004562B8"/>
    <w:rsid w:val="0045636E"/>
    <w:rsid w:val="0045765F"/>
    <w:rsid w:val="00462462"/>
    <w:rsid w:val="00462AAB"/>
    <w:rsid w:val="00463352"/>
    <w:rsid w:val="00467EFE"/>
    <w:rsid w:val="004766FA"/>
    <w:rsid w:val="00476E28"/>
    <w:rsid w:val="00483FE9"/>
    <w:rsid w:val="00484AC6"/>
    <w:rsid w:val="00484C26"/>
    <w:rsid w:val="00485E58"/>
    <w:rsid w:val="0048601B"/>
    <w:rsid w:val="004863E5"/>
    <w:rsid w:val="00490B47"/>
    <w:rsid w:val="004916F4"/>
    <w:rsid w:val="00491DAC"/>
    <w:rsid w:val="00492DAC"/>
    <w:rsid w:val="00493FE3"/>
    <w:rsid w:val="00495A6D"/>
    <w:rsid w:val="0049769E"/>
    <w:rsid w:val="004A2DF7"/>
    <w:rsid w:val="004A3CFE"/>
    <w:rsid w:val="004A4FD6"/>
    <w:rsid w:val="004A5542"/>
    <w:rsid w:val="004B0215"/>
    <w:rsid w:val="004B0474"/>
    <w:rsid w:val="004B2585"/>
    <w:rsid w:val="004B2E38"/>
    <w:rsid w:val="004B5C15"/>
    <w:rsid w:val="004B64F3"/>
    <w:rsid w:val="004C20BB"/>
    <w:rsid w:val="004C34E7"/>
    <w:rsid w:val="004C4852"/>
    <w:rsid w:val="004C76FD"/>
    <w:rsid w:val="004D0824"/>
    <w:rsid w:val="004D4102"/>
    <w:rsid w:val="004E045A"/>
    <w:rsid w:val="004E225D"/>
    <w:rsid w:val="004E4F79"/>
    <w:rsid w:val="004F232E"/>
    <w:rsid w:val="004F29B5"/>
    <w:rsid w:val="004F3FB3"/>
    <w:rsid w:val="004F5195"/>
    <w:rsid w:val="004F539A"/>
    <w:rsid w:val="004F65F6"/>
    <w:rsid w:val="00500056"/>
    <w:rsid w:val="00500BA2"/>
    <w:rsid w:val="0050112F"/>
    <w:rsid w:val="0050164C"/>
    <w:rsid w:val="005018F6"/>
    <w:rsid w:val="005070CE"/>
    <w:rsid w:val="00514B2A"/>
    <w:rsid w:val="00515176"/>
    <w:rsid w:val="00516389"/>
    <w:rsid w:val="00516E74"/>
    <w:rsid w:val="005176A3"/>
    <w:rsid w:val="0052192B"/>
    <w:rsid w:val="00523499"/>
    <w:rsid w:val="00524A43"/>
    <w:rsid w:val="00525915"/>
    <w:rsid w:val="00525EB6"/>
    <w:rsid w:val="0052785C"/>
    <w:rsid w:val="005304BD"/>
    <w:rsid w:val="00540F24"/>
    <w:rsid w:val="005412FA"/>
    <w:rsid w:val="00542970"/>
    <w:rsid w:val="005458A1"/>
    <w:rsid w:val="005512BE"/>
    <w:rsid w:val="005528DF"/>
    <w:rsid w:val="0055455F"/>
    <w:rsid w:val="005548F4"/>
    <w:rsid w:val="00555DF0"/>
    <w:rsid w:val="005567C9"/>
    <w:rsid w:val="005568EC"/>
    <w:rsid w:val="00557B3A"/>
    <w:rsid w:val="00557E2A"/>
    <w:rsid w:val="00562683"/>
    <w:rsid w:val="005718A7"/>
    <w:rsid w:val="00571E2D"/>
    <w:rsid w:val="00573202"/>
    <w:rsid w:val="00574F9B"/>
    <w:rsid w:val="00582652"/>
    <w:rsid w:val="00584EFD"/>
    <w:rsid w:val="00585BB3"/>
    <w:rsid w:val="00590910"/>
    <w:rsid w:val="00590E18"/>
    <w:rsid w:val="005A29C1"/>
    <w:rsid w:val="005A2FDB"/>
    <w:rsid w:val="005A3F64"/>
    <w:rsid w:val="005A52C8"/>
    <w:rsid w:val="005A5C25"/>
    <w:rsid w:val="005A769C"/>
    <w:rsid w:val="005A77E2"/>
    <w:rsid w:val="005B02FF"/>
    <w:rsid w:val="005B035A"/>
    <w:rsid w:val="005B1D11"/>
    <w:rsid w:val="005B7ACA"/>
    <w:rsid w:val="005C0F16"/>
    <w:rsid w:val="005C21EE"/>
    <w:rsid w:val="005C272B"/>
    <w:rsid w:val="005C426D"/>
    <w:rsid w:val="005C53A0"/>
    <w:rsid w:val="005D0726"/>
    <w:rsid w:val="005D2E96"/>
    <w:rsid w:val="005D344A"/>
    <w:rsid w:val="005D4C6B"/>
    <w:rsid w:val="005D4FBC"/>
    <w:rsid w:val="005D5F72"/>
    <w:rsid w:val="005E0E3C"/>
    <w:rsid w:val="005E30BB"/>
    <w:rsid w:val="005E565C"/>
    <w:rsid w:val="005E59F9"/>
    <w:rsid w:val="005F16F9"/>
    <w:rsid w:val="005F34C4"/>
    <w:rsid w:val="005F3751"/>
    <w:rsid w:val="005F6606"/>
    <w:rsid w:val="005F6BA1"/>
    <w:rsid w:val="005F6C59"/>
    <w:rsid w:val="00602298"/>
    <w:rsid w:val="00605471"/>
    <w:rsid w:val="00607367"/>
    <w:rsid w:val="00610B36"/>
    <w:rsid w:val="00612C99"/>
    <w:rsid w:val="006139DF"/>
    <w:rsid w:val="00613BEA"/>
    <w:rsid w:val="00615FE8"/>
    <w:rsid w:val="0062248E"/>
    <w:rsid w:val="00624212"/>
    <w:rsid w:val="006302CF"/>
    <w:rsid w:val="00632C07"/>
    <w:rsid w:val="00634837"/>
    <w:rsid w:val="00634A9A"/>
    <w:rsid w:val="00635403"/>
    <w:rsid w:val="00641F08"/>
    <w:rsid w:val="00641FC2"/>
    <w:rsid w:val="00644AF2"/>
    <w:rsid w:val="00644F5C"/>
    <w:rsid w:val="006451A0"/>
    <w:rsid w:val="00646569"/>
    <w:rsid w:val="00652C64"/>
    <w:rsid w:val="00653604"/>
    <w:rsid w:val="0065370E"/>
    <w:rsid w:val="00656B79"/>
    <w:rsid w:val="00657E20"/>
    <w:rsid w:val="00671B5B"/>
    <w:rsid w:val="00682FEF"/>
    <w:rsid w:val="0068315D"/>
    <w:rsid w:val="00684A61"/>
    <w:rsid w:val="00692A23"/>
    <w:rsid w:val="006941FE"/>
    <w:rsid w:val="0069682C"/>
    <w:rsid w:val="006A06A6"/>
    <w:rsid w:val="006A1002"/>
    <w:rsid w:val="006A21CB"/>
    <w:rsid w:val="006A7F45"/>
    <w:rsid w:val="006B225F"/>
    <w:rsid w:val="006B46C4"/>
    <w:rsid w:val="006C12CE"/>
    <w:rsid w:val="006C239C"/>
    <w:rsid w:val="006C25E8"/>
    <w:rsid w:val="006C2672"/>
    <w:rsid w:val="006C3374"/>
    <w:rsid w:val="006C3DDD"/>
    <w:rsid w:val="006C456D"/>
    <w:rsid w:val="006C7E41"/>
    <w:rsid w:val="006D010F"/>
    <w:rsid w:val="006D0A27"/>
    <w:rsid w:val="006D0FF2"/>
    <w:rsid w:val="006D2E05"/>
    <w:rsid w:val="006D556F"/>
    <w:rsid w:val="006D6AEF"/>
    <w:rsid w:val="006E0CA3"/>
    <w:rsid w:val="006E224A"/>
    <w:rsid w:val="006E24C3"/>
    <w:rsid w:val="006E447B"/>
    <w:rsid w:val="006E583C"/>
    <w:rsid w:val="006E7D4D"/>
    <w:rsid w:val="006F2083"/>
    <w:rsid w:val="006F39D0"/>
    <w:rsid w:val="006F3C9C"/>
    <w:rsid w:val="006F41FE"/>
    <w:rsid w:val="006F4BB0"/>
    <w:rsid w:val="006F595A"/>
    <w:rsid w:val="006F759E"/>
    <w:rsid w:val="006F7F55"/>
    <w:rsid w:val="00700470"/>
    <w:rsid w:val="007013F9"/>
    <w:rsid w:val="00701B73"/>
    <w:rsid w:val="0070245F"/>
    <w:rsid w:val="00703DD8"/>
    <w:rsid w:val="007074DC"/>
    <w:rsid w:val="007101F2"/>
    <w:rsid w:val="00710F59"/>
    <w:rsid w:val="00712BE4"/>
    <w:rsid w:val="007135A0"/>
    <w:rsid w:val="00713B1F"/>
    <w:rsid w:val="00713C93"/>
    <w:rsid w:val="00715B34"/>
    <w:rsid w:val="00715FE5"/>
    <w:rsid w:val="00721E8A"/>
    <w:rsid w:val="00723D57"/>
    <w:rsid w:val="00730924"/>
    <w:rsid w:val="0073127B"/>
    <w:rsid w:val="00732CEC"/>
    <w:rsid w:val="00733A6B"/>
    <w:rsid w:val="007353C0"/>
    <w:rsid w:val="007360AE"/>
    <w:rsid w:val="00737A4D"/>
    <w:rsid w:val="0074060C"/>
    <w:rsid w:val="00741546"/>
    <w:rsid w:val="00745988"/>
    <w:rsid w:val="00746163"/>
    <w:rsid w:val="0074699C"/>
    <w:rsid w:val="00746AEE"/>
    <w:rsid w:val="00747FE8"/>
    <w:rsid w:val="0075072C"/>
    <w:rsid w:val="007517B9"/>
    <w:rsid w:val="0075190C"/>
    <w:rsid w:val="00752F72"/>
    <w:rsid w:val="0075351E"/>
    <w:rsid w:val="007542AE"/>
    <w:rsid w:val="00756164"/>
    <w:rsid w:val="00764124"/>
    <w:rsid w:val="007653E5"/>
    <w:rsid w:val="00766B72"/>
    <w:rsid w:val="007733CA"/>
    <w:rsid w:val="007744C6"/>
    <w:rsid w:val="00774F67"/>
    <w:rsid w:val="00775388"/>
    <w:rsid w:val="00777041"/>
    <w:rsid w:val="00782565"/>
    <w:rsid w:val="0078291C"/>
    <w:rsid w:val="0078356A"/>
    <w:rsid w:val="00783A74"/>
    <w:rsid w:val="0078436E"/>
    <w:rsid w:val="007866F3"/>
    <w:rsid w:val="007874CF"/>
    <w:rsid w:val="00787FE9"/>
    <w:rsid w:val="00790537"/>
    <w:rsid w:val="0079160A"/>
    <w:rsid w:val="00793B65"/>
    <w:rsid w:val="007942F7"/>
    <w:rsid w:val="00795C17"/>
    <w:rsid w:val="007960CB"/>
    <w:rsid w:val="007A2141"/>
    <w:rsid w:val="007A2A04"/>
    <w:rsid w:val="007A2E2E"/>
    <w:rsid w:val="007A4098"/>
    <w:rsid w:val="007A5B7B"/>
    <w:rsid w:val="007A6FE8"/>
    <w:rsid w:val="007A7228"/>
    <w:rsid w:val="007B13B3"/>
    <w:rsid w:val="007B3AD2"/>
    <w:rsid w:val="007C147B"/>
    <w:rsid w:val="007C2B80"/>
    <w:rsid w:val="007C4E59"/>
    <w:rsid w:val="007D04D0"/>
    <w:rsid w:val="007D1121"/>
    <w:rsid w:val="007D3E35"/>
    <w:rsid w:val="007D63FC"/>
    <w:rsid w:val="007D6720"/>
    <w:rsid w:val="007D6948"/>
    <w:rsid w:val="007E0145"/>
    <w:rsid w:val="007E13F4"/>
    <w:rsid w:val="007E67AD"/>
    <w:rsid w:val="007E79D5"/>
    <w:rsid w:val="007F6EEC"/>
    <w:rsid w:val="00800534"/>
    <w:rsid w:val="00800E74"/>
    <w:rsid w:val="008067E8"/>
    <w:rsid w:val="0080772F"/>
    <w:rsid w:val="008079C8"/>
    <w:rsid w:val="008131E5"/>
    <w:rsid w:val="00815066"/>
    <w:rsid w:val="00817169"/>
    <w:rsid w:val="00822427"/>
    <w:rsid w:val="00830406"/>
    <w:rsid w:val="00830DDD"/>
    <w:rsid w:val="008317E8"/>
    <w:rsid w:val="00831DC9"/>
    <w:rsid w:val="0083260A"/>
    <w:rsid w:val="008330B7"/>
    <w:rsid w:val="00833B0B"/>
    <w:rsid w:val="0083772C"/>
    <w:rsid w:val="00837916"/>
    <w:rsid w:val="0084077E"/>
    <w:rsid w:val="008415D1"/>
    <w:rsid w:val="0084323F"/>
    <w:rsid w:val="00843D1C"/>
    <w:rsid w:val="008452E9"/>
    <w:rsid w:val="00845ECF"/>
    <w:rsid w:val="008471A5"/>
    <w:rsid w:val="00850FED"/>
    <w:rsid w:val="0085137F"/>
    <w:rsid w:val="0086083D"/>
    <w:rsid w:val="00861D78"/>
    <w:rsid w:val="008623F3"/>
    <w:rsid w:val="008628BE"/>
    <w:rsid w:val="00862DD0"/>
    <w:rsid w:val="00863956"/>
    <w:rsid w:val="00866459"/>
    <w:rsid w:val="008816C9"/>
    <w:rsid w:val="00882755"/>
    <w:rsid w:val="00890BDB"/>
    <w:rsid w:val="00891CA3"/>
    <w:rsid w:val="0089263F"/>
    <w:rsid w:val="0089270E"/>
    <w:rsid w:val="008930E6"/>
    <w:rsid w:val="008962FC"/>
    <w:rsid w:val="008A1619"/>
    <w:rsid w:val="008A301A"/>
    <w:rsid w:val="008A5F16"/>
    <w:rsid w:val="008A66F9"/>
    <w:rsid w:val="008B5322"/>
    <w:rsid w:val="008B54A5"/>
    <w:rsid w:val="008B5514"/>
    <w:rsid w:val="008B6287"/>
    <w:rsid w:val="008C0148"/>
    <w:rsid w:val="008C08BC"/>
    <w:rsid w:val="008C0A36"/>
    <w:rsid w:val="008C1E25"/>
    <w:rsid w:val="008C35F1"/>
    <w:rsid w:val="008C3667"/>
    <w:rsid w:val="008C4098"/>
    <w:rsid w:val="008C45DE"/>
    <w:rsid w:val="008C499D"/>
    <w:rsid w:val="008C7631"/>
    <w:rsid w:val="008D0E4C"/>
    <w:rsid w:val="008D3313"/>
    <w:rsid w:val="008D47F8"/>
    <w:rsid w:val="008D6DB0"/>
    <w:rsid w:val="008E1688"/>
    <w:rsid w:val="008E25FD"/>
    <w:rsid w:val="008E2C07"/>
    <w:rsid w:val="008E3451"/>
    <w:rsid w:val="008E359E"/>
    <w:rsid w:val="008E42C3"/>
    <w:rsid w:val="008F537D"/>
    <w:rsid w:val="008F5EF6"/>
    <w:rsid w:val="008F7EE3"/>
    <w:rsid w:val="0090132B"/>
    <w:rsid w:val="009038FA"/>
    <w:rsid w:val="009049E9"/>
    <w:rsid w:val="00912D72"/>
    <w:rsid w:val="00915050"/>
    <w:rsid w:val="00915BEF"/>
    <w:rsid w:val="00916790"/>
    <w:rsid w:val="009202CD"/>
    <w:rsid w:val="00920AD9"/>
    <w:rsid w:val="00922A0A"/>
    <w:rsid w:val="0092334D"/>
    <w:rsid w:val="00923AF3"/>
    <w:rsid w:val="00924187"/>
    <w:rsid w:val="00924680"/>
    <w:rsid w:val="009274C8"/>
    <w:rsid w:val="009308EA"/>
    <w:rsid w:val="0093288C"/>
    <w:rsid w:val="00933276"/>
    <w:rsid w:val="009340CB"/>
    <w:rsid w:val="0093411E"/>
    <w:rsid w:val="0093413E"/>
    <w:rsid w:val="0093532C"/>
    <w:rsid w:val="009356B6"/>
    <w:rsid w:val="009362AC"/>
    <w:rsid w:val="00941466"/>
    <w:rsid w:val="00941CE4"/>
    <w:rsid w:val="00941D56"/>
    <w:rsid w:val="009425FD"/>
    <w:rsid w:val="0094339E"/>
    <w:rsid w:val="009436A2"/>
    <w:rsid w:val="00944C3D"/>
    <w:rsid w:val="00946056"/>
    <w:rsid w:val="0094681A"/>
    <w:rsid w:val="0094795C"/>
    <w:rsid w:val="00947EEA"/>
    <w:rsid w:val="009519DF"/>
    <w:rsid w:val="00953240"/>
    <w:rsid w:val="00953B43"/>
    <w:rsid w:val="009560CF"/>
    <w:rsid w:val="00960043"/>
    <w:rsid w:val="00962651"/>
    <w:rsid w:val="00964367"/>
    <w:rsid w:val="009653FB"/>
    <w:rsid w:val="00966DCE"/>
    <w:rsid w:val="009742C4"/>
    <w:rsid w:val="00981DA5"/>
    <w:rsid w:val="009840C8"/>
    <w:rsid w:val="0098410C"/>
    <w:rsid w:val="009859C4"/>
    <w:rsid w:val="00985BE1"/>
    <w:rsid w:val="00986169"/>
    <w:rsid w:val="0098635E"/>
    <w:rsid w:val="00991D93"/>
    <w:rsid w:val="00993696"/>
    <w:rsid w:val="0099640F"/>
    <w:rsid w:val="00997B10"/>
    <w:rsid w:val="009A078A"/>
    <w:rsid w:val="009A0AB1"/>
    <w:rsid w:val="009A2E7D"/>
    <w:rsid w:val="009A2EC1"/>
    <w:rsid w:val="009A4382"/>
    <w:rsid w:val="009B215A"/>
    <w:rsid w:val="009B3656"/>
    <w:rsid w:val="009C0072"/>
    <w:rsid w:val="009C0E4F"/>
    <w:rsid w:val="009C0E6B"/>
    <w:rsid w:val="009C2CEE"/>
    <w:rsid w:val="009C4D41"/>
    <w:rsid w:val="009D178D"/>
    <w:rsid w:val="009D1900"/>
    <w:rsid w:val="009D3E7D"/>
    <w:rsid w:val="009D4051"/>
    <w:rsid w:val="009E07C0"/>
    <w:rsid w:val="009E21B5"/>
    <w:rsid w:val="009E48E5"/>
    <w:rsid w:val="009E69A8"/>
    <w:rsid w:val="009F0B8C"/>
    <w:rsid w:val="009F2364"/>
    <w:rsid w:val="009F4450"/>
    <w:rsid w:val="009F4F8F"/>
    <w:rsid w:val="009F5708"/>
    <w:rsid w:val="009F7530"/>
    <w:rsid w:val="00A00A80"/>
    <w:rsid w:val="00A063A1"/>
    <w:rsid w:val="00A10049"/>
    <w:rsid w:val="00A11426"/>
    <w:rsid w:val="00A121EA"/>
    <w:rsid w:val="00A147F5"/>
    <w:rsid w:val="00A14882"/>
    <w:rsid w:val="00A23EA3"/>
    <w:rsid w:val="00A24C34"/>
    <w:rsid w:val="00A266EB"/>
    <w:rsid w:val="00A26F4B"/>
    <w:rsid w:val="00A31E00"/>
    <w:rsid w:val="00A35EDE"/>
    <w:rsid w:val="00A37B33"/>
    <w:rsid w:val="00A424AD"/>
    <w:rsid w:val="00A474DB"/>
    <w:rsid w:val="00A55A1C"/>
    <w:rsid w:val="00A55F50"/>
    <w:rsid w:val="00A615E0"/>
    <w:rsid w:val="00A62950"/>
    <w:rsid w:val="00A637B6"/>
    <w:rsid w:val="00A6496C"/>
    <w:rsid w:val="00A72E8D"/>
    <w:rsid w:val="00A7432C"/>
    <w:rsid w:val="00A74CDE"/>
    <w:rsid w:val="00A75339"/>
    <w:rsid w:val="00A75EE6"/>
    <w:rsid w:val="00A845C8"/>
    <w:rsid w:val="00A8670B"/>
    <w:rsid w:val="00A907BC"/>
    <w:rsid w:val="00A91BB6"/>
    <w:rsid w:val="00A924C5"/>
    <w:rsid w:val="00A94506"/>
    <w:rsid w:val="00A94C46"/>
    <w:rsid w:val="00A95C14"/>
    <w:rsid w:val="00A95EAB"/>
    <w:rsid w:val="00AA0CD6"/>
    <w:rsid w:val="00AA1AF8"/>
    <w:rsid w:val="00AA39C7"/>
    <w:rsid w:val="00AA40E3"/>
    <w:rsid w:val="00AA54B1"/>
    <w:rsid w:val="00AA6DE9"/>
    <w:rsid w:val="00AB09C2"/>
    <w:rsid w:val="00AB1AAF"/>
    <w:rsid w:val="00AB21D3"/>
    <w:rsid w:val="00AB2356"/>
    <w:rsid w:val="00AB3136"/>
    <w:rsid w:val="00AB3E45"/>
    <w:rsid w:val="00AC12CD"/>
    <w:rsid w:val="00AC1F7B"/>
    <w:rsid w:val="00AC2461"/>
    <w:rsid w:val="00AC2DFF"/>
    <w:rsid w:val="00AC2E7D"/>
    <w:rsid w:val="00AC38F4"/>
    <w:rsid w:val="00AC50A9"/>
    <w:rsid w:val="00AC737D"/>
    <w:rsid w:val="00AC757D"/>
    <w:rsid w:val="00AD0EF0"/>
    <w:rsid w:val="00AD33E2"/>
    <w:rsid w:val="00AD4B7F"/>
    <w:rsid w:val="00AD609D"/>
    <w:rsid w:val="00AD65FB"/>
    <w:rsid w:val="00AD7861"/>
    <w:rsid w:val="00AE01D3"/>
    <w:rsid w:val="00AE1C4E"/>
    <w:rsid w:val="00AE1EF1"/>
    <w:rsid w:val="00AE3CB9"/>
    <w:rsid w:val="00AE490F"/>
    <w:rsid w:val="00AE5448"/>
    <w:rsid w:val="00AF2121"/>
    <w:rsid w:val="00AF4132"/>
    <w:rsid w:val="00AF584F"/>
    <w:rsid w:val="00B0079B"/>
    <w:rsid w:val="00B01E6D"/>
    <w:rsid w:val="00B17886"/>
    <w:rsid w:val="00B233E2"/>
    <w:rsid w:val="00B34200"/>
    <w:rsid w:val="00B34657"/>
    <w:rsid w:val="00B40425"/>
    <w:rsid w:val="00B41B11"/>
    <w:rsid w:val="00B42615"/>
    <w:rsid w:val="00B43F45"/>
    <w:rsid w:val="00B45DAD"/>
    <w:rsid w:val="00B4720F"/>
    <w:rsid w:val="00B56BAA"/>
    <w:rsid w:val="00B5798C"/>
    <w:rsid w:val="00B64CA3"/>
    <w:rsid w:val="00B64E45"/>
    <w:rsid w:val="00B6749C"/>
    <w:rsid w:val="00B67BBB"/>
    <w:rsid w:val="00B67CFC"/>
    <w:rsid w:val="00B67F3F"/>
    <w:rsid w:val="00B702AC"/>
    <w:rsid w:val="00B74AC2"/>
    <w:rsid w:val="00B74EC7"/>
    <w:rsid w:val="00B77711"/>
    <w:rsid w:val="00B8038C"/>
    <w:rsid w:val="00B85975"/>
    <w:rsid w:val="00B90F8E"/>
    <w:rsid w:val="00B93EF7"/>
    <w:rsid w:val="00BA1E41"/>
    <w:rsid w:val="00BA3AB0"/>
    <w:rsid w:val="00BA3EC5"/>
    <w:rsid w:val="00BA5869"/>
    <w:rsid w:val="00BA6C42"/>
    <w:rsid w:val="00BB436C"/>
    <w:rsid w:val="00BB43B0"/>
    <w:rsid w:val="00BB4CF6"/>
    <w:rsid w:val="00BB50E9"/>
    <w:rsid w:val="00BB5550"/>
    <w:rsid w:val="00BB67E4"/>
    <w:rsid w:val="00BB75B6"/>
    <w:rsid w:val="00BC2ACF"/>
    <w:rsid w:val="00BC4209"/>
    <w:rsid w:val="00BC53BB"/>
    <w:rsid w:val="00BC6133"/>
    <w:rsid w:val="00BC6782"/>
    <w:rsid w:val="00BC74C8"/>
    <w:rsid w:val="00BC77ED"/>
    <w:rsid w:val="00BC7AED"/>
    <w:rsid w:val="00BD3791"/>
    <w:rsid w:val="00BD4345"/>
    <w:rsid w:val="00BD4622"/>
    <w:rsid w:val="00BD7607"/>
    <w:rsid w:val="00BE10C0"/>
    <w:rsid w:val="00BE3AB3"/>
    <w:rsid w:val="00BE3DF5"/>
    <w:rsid w:val="00BE52A8"/>
    <w:rsid w:val="00BE5C89"/>
    <w:rsid w:val="00BE720C"/>
    <w:rsid w:val="00BE7F14"/>
    <w:rsid w:val="00BF0240"/>
    <w:rsid w:val="00BF2901"/>
    <w:rsid w:val="00BF4F81"/>
    <w:rsid w:val="00BF65CE"/>
    <w:rsid w:val="00BF693F"/>
    <w:rsid w:val="00C037C9"/>
    <w:rsid w:val="00C068AD"/>
    <w:rsid w:val="00C10AFB"/>
    <w:rsid w:val="00C11CE5"/>
    <w:rsid w:val="00C122F6"/>
    <w:rsid w:val="00C153F5"/>
    <w:rsid w:val="00C155F2"/>
    <w:rsid w:val="00C15D33"/>
    <w:rsid w:val="00C171AA"/>
    <w:rsid w:val="00C20EAE"/>
    <w:rsid w:val="00C22007"/>
    <w:rsid w:val="00C23057"/>
    <w:rsid w:val="00C230F3"/>
    <w:rsid w:val="00C24B72"/>
    <w:rsid w:val="00C2609D"/>
    <w:rsid w:val="00C309FD"/>
    <w:rsid w:val="00C339F2"/>
    <w:rsid w:val="00C33E6B"/>
    <w:rsid w:val="00C3755E"/>
    <w:rsid w:val="00C37858"/>
    <w:rsid w:val="00C43161"/>
    <w:rsid w:val="00C4348C"/>
    <w:rsid w:val="00C457FC"/>
    <w:rsid w:val="00C5181F"/>
    <w:rsid w:val="00C52C1B"/>
    <w:rsid w:val="00C53D9A"/>
    <w:rsid w:val="00C53FD4"/>
    <w:rsid w:val="00C6035D"/>
    <w:rsid w:val="00C64F78"/>
    <w:rsid w:val="00C716A2"/>
    <w:rsid w:val="00C7174C"/>
    <w:rsid w:val="00C71BD5"/>
    <w:rsid w:val="00C72529"/>
    <w:rsid w:val="00C726A9"/>
    <w:rsid w:val="00C73F91"/>
    <w:rsid w:val="00C744A7"/>
    <w:rsid w:val="00C74B27"/>
    <w:rsid w:val="00C76309"/>
    <w:rsid w:val="00C76AB6"/>
    <w:rsid w:val="00C77B05"/>
    <w:rsid w:val="00C80433"/>
    <w:rsid w:val="00C80438"/>
    <w:rsid w:val="00C85213"/>
    <w:rsid w:val="00C85F35"/>
    <w:rsid w:val="00C86C0A"/>
    <w:rsid w:val="00C86D34"/>
    <w:rsid w:val="00C8793E"/>
    <w:rsid w:val="00C87A99"/>
    <w:rsid w:val="00C87BEF"/>
    <w:rsid w:val="00C9042A"/>
    <w:rsid w:val="00C91145"/>
    <w:rsid w:val="00C94F83"/>
    <w:rsid w:val="00C95860"/>
    <w:rsid w:val="00C97693"/>
    <w:rsid w:val="00CA15D9"/>
    <w:rsid w:val="00CA2456"/>
    <w:rsid w:val="00CA4577"/>
    <w:rsid w:val="00CA56B6"/>
    <w:rsid w:val="00CA56EA"/>
    <w:rsid w:val="00CA7BF0"/>
    <w:rsid w:val="00CB05F8"/>
    <w:rsid w:val="00CB1824"/>
    <w:rsid w:val="00CB19C0"/>
    <w:rsid w:val="00CB1DE0"/>
    <w:rsid w:val="00CB3209"/>
    <w:rsid w:val="00CC053D"/>
    <w:rsid w:val="00CC07E0"/>
    <w:rsid w:val="00CC1F8C"/>
    <w:rsid w:val="00CC4DBD"/>
    <w:rsid w:val="00CC6A1F"/>
    <w:rsid w:val="00CC74A2"/>
    <w:rsid w:val="00CD3AF5"/>
    <w:rsid w:val="00CD5087"/>
    <w:rsid w:val="00CD5AE7"/>
    <w:rsid w:val="00CE00D3"/>
    <w:rsid w:val="00CE0CFB"/>
    <w:rsid w:val="00CE6B06"/>
    <w:rsid w:val="00CF0597"/>
    <w:rsid w:val="00CF0623"/>
    <w:rsid w:val="00CF1246"/>
    <w:rsid w:val="00CF2838"/>
    <w:rsid w:val="00CF4271"/>
    <w:rsid w:val="00CF447E"/>
    <w:rsid w:val="00CF50EE"/>
    <w:rsid w:val="00CF6628"/>
    <w:rsid w:val="00CF7AD0"/>
    <w:rsid w:val="00D01786"/>
    <w:rsid w:val="00D026C7"/>
    <w:rsid w:val="00D030DC"/>
    <w:rsid w:val="00D0332B"/>
    <w:rsid w:val="00D05621"/>
    <w:rsid w:val="00D07AA5"/>
    <w:rsid w:val="00D106CA"/>
    <w:rsid w:val="00D1125E"/>
    <w:rsid w:val="00D120D4"/>
    <w:rsid w:val="00D13BFF"/>
    <w:rsid w:val="00D142A7"/>
    <w:rsid w:val="00D153D3"/>
    <w:rsid w:val="00D15B6A"/>
    <w:rsid w:val="00D17E99"/>
    <w:rsid w:val="00D21ABF"/>
    <w:rsid w:val="00D21D40"/>
    <w:rsid w:val="00D23167"/>
    <w:rsid w:val="00D24050"/>
    <w:rsid w:val="00D242C9"/>
    <w:rsid w:val="00D24DA8"/>
    <w:rsid w:val="00D305DA"/>
    <w:rsid w:val="00D362D4"/>
    <w:rsid w:val="00D367FB"/>
    <w:rsid w:val="00D37B58"/>
    <w:rsid w:val="00D424CB"/>
    <w:rsid w:val="00D42DA9"/>
    <w:rsid w:val="00D43202"/>
    <w:rsid w:val="00D45F3D"/>
    <w:rsid w:val="00D463C1"/>
    <w:rsid w:val="00D505D8"/>
    <w:rsid w:val="00D616EB"/>
    <w:rsid w:val="00D632D8"/>
    <w:rsid w:val="00D71505"/>
    <w:rsid w:val="00D71CA4"/>
    <w:rsid w:val="00D72285"/>
    <w:rsid w:val="00D73121"/>
    <w:rsid w:val="00D737C4"/>
    <w:rsid w:val="00D73C6C"/>
    <w:rsid w:val="00D75E39"/>
    <w:rsid w:val="00D804CD"/>
    <w:rsid w:val="00D824A2"/>
    <w:rsid w:val="00D8594E"/>
    <w:rsid w:val="00D866F7"/>
    <w:rsid w:val="00D8704A"/>
    <w:rsid w:val="00D903F4"/>
    <w:rsid w:val="00D91FFD"/>
    <w:rsid w:val="00D923B4"/>
    <w:rsid w:val="00D9335D"/>
    <w:rsid w:val="00D96759"/>
    <w:rsid w:val="00D97333"/>
    <w:rsid w:val="00DA1435"/>
    <w:rsid w:val="00DA20FF"/>
    <w:rsid w:val="00DA68B5"/>
    <w:rsid w:val="00DA785C"/>
    <w:rsid w:val="00DB06C5"/>
    <w:rsid w:val="00DB1DDC"/>
    <w:rsid w:val="00DB24C2"/>
    <w:rsid w:val="00DB6D4E"/>
    <w:rsid w:val="00DC4A0E"/>
    <w:rsid w:val="00DC4F80"/>
    <w:rsid w:val="00DE2A7A"/>
    <w:rsid w:val="00DE452F"/>
    <w:rsid w:val="00DE59A0"/>
    <w:rsid w:val="00DE7312"/>
    <w:rsid w:val="00DF1261"/>
    <w:rsid w:val="00DF132C"/>
    <w:rsid w:val="00DF1A44"/>
    <w:rsid w:val="00DF270E"/>
    <w:rsid w:val="00DF3ACB"/>
    <w:rsid w:val="00DF4D40"/>
    <w:rsid w:val="00DF4E1C"/>
    <w:rsid w:val="00DF70EE"/>
    <w:rsid w:val="00E003C2"/>
    <w:rsid w:val="00E0369E"/>
    <w:rsid w:val="00E06DFF"/>
    <w:rsid w:val="00E07929"/>
    <w:rsid w:val="00E1119F"/>
    <w:rsid w:val="00E13193"/>
    <w:rsid w:val="00E13FC9"/>
    <w:rsid w:val="00E144F1"/>
    <w:rsid w:val="00E17EA6"/>
    <w:rsid w:val="00E236EF"/>
    <w:rsid w:val="00E24481"/>
    <w:rsid w:val="00E25B82"/>
    <w:rsid w:val="00E25BDB"/>
    <w:rsid w:val="00E331C5"/>
    <w:rsid w:val="00E33932"/>
    <w:rsid w:val="00E35C87"/>
    <w:rsid w:val="00E47ECF"/>
    <w:rsid w:val="00E5022C"/>
    <w:rsid w:val="00E5143B"/>
    <w:rsid w:val="00E51B8A"/>
    <w:rsid w:val="00E521ED"/>
    <w:rsid w:val="00E52C7B"/>
    <w:rsid w:val="00E55873"/>
    <w:rsid w:val="00E57D74"/>
    <w:rsid w:val="00E63498"/>
    <w:rsid w:val="00E63B15"/>
    <w:rsid w:val="00E6606C"/>
    <w:rsid w:val="00E66FB8"/>
    <w:rsid w:val="00E66FFA"/>
    <w:rsid w:val="00E70AC9"/>
    <w:rsid w:val="00E7358E"/>
    <w:rsid w:val="00E7606B"/>
    <w:rsid w:val="00E76AED"/>
    <w:rsid w:val="00E77303"/>
    <w:rsid w:val="00E775BC"/>
    <w:rsid w:val="00E80E08"/>
    <w:rsid w:val="00E8189F"/>
    <w:rsid w:val="00E827FA"/>
    <w:rsid w:val="00E83F92"/>
    <w:rsid w:val="00E85227"/>
    <w:rsid w:val="00E87384"/>
    <w:rsid w:val="00E923D4"/>
    <w:rsid w:val="00E93708"/>
    <w:rsid w:val="00E94F85"/>
    <w:rsid w:val="00EA0008"/>
    <w:rsid w:val="00EA001B"/>
    <w:rsid w:val="00EA1DDB"/>
    <w:rsid w:val="00EA54DE"/>
    <w:rsid w:val="00EA76AB"/>
    <w:rsid w:val="00EA7923"/>
    <w:rsid w:val="00EB002E"/>
    <w:rsid w:val="00EB25AB"/>
    <w:rsid w:val="00EB40C9"/>
    <w:rsid w:val="00EB4DD7"/>
    <w:rsid w:val="00EB58D0"/>
    <w:rsid w:val="00EB60CA"/>
    <w:rsid w:val="00EB7FCB"/>
    <w:rsid w:val="00EC0254"/>
    <w:rsid w:val="00EC0630"/>
    <w:rsid w:val="00EC1A4D"/>
    <w:rsid w:val="00EC7185"/>
    <w:rsid w:val="00ED048F"/>
    <w:rsid w:val="00ED1E72"/>
    <w:rsid w:val="00ED2B07"/>
    <w:rsid w:val="00ED5202"/>
    <w:rsid w:val="00EE3972"/>
    <w:rsid w:val="00EE78C5"/>
    <w:rsid w:val="00EF0D8B"/>
    <w:rsid w:val="00EF15E7"/>
    <w:rsid w:val="00EF3456"/>
    <w:rsid w:val="00EF5BE1"/>
    <w:rsid w:val="00EF5CA7"/>
    <w:rsid w:val="00F0046B"/>
    <w:rsid w:val="00F004F2"/>
    <w:rsid w:val="00F0206C"/>
    <w:rsid w:val="00F0457A"/>
    <w:rsid w:val="00F06BE2"/>
    <w:rsid w:val="00F06CB3"/>
    <w:rsid w:val="00F0715A"/>
    <w:rsid w:val="00F130EA"/>
    <w:rsid w:val="00F16344"/>
    <w:rsid w:val="00F17609"/>
    <w:rsid w:val="00F17E9A"/>
    <w:rsid w:val="00F22B5B"/>
    <w:rsid w:val="00F25F6B"/>
    <w:rsid w:val="00F27DED"/>
    <w:rsid w:val="00F303F2"/>
    <w:rsid w:val="00F30945"/>
    <w:rsid w:val="00F31D85"/>
    <w:rsid w:val="00F321C7"/>
    <w:rsid w:val="00F32FF0"/>
    <w:rsid w:val="00F33716"/>
    <w:rsid w:val="00F367CC"/>
    <w:rsid w:val="00F36A60"/>
    <w:rsid w:val="00F40034"/>
    <w:rsid w:val="00F400C3"/>
    <w:rsid w:val="00F40F3B"/>
    <w:rsid w:val="00F45A74"/>
    <w:rsid w:val="00F475A7"/>
    <w:rsid w:val="00F53758"/>
    <w:rsid w:val="00F57C61"/>
    <w:rsid w:val="00F57FE1"/>
    <w:rsid w:val="00F60CFF"/>
    <w:rsid w:val="00F6226F"/>
    <w:rsid w:val="00F628E5"/>
    <w:rsid w:val="00F637D9"/>
    <w:rsid w:val="00F63BD3"/>
    <w:rsid w:val="00F65BB4"/>
    <w:rsid w:val="00F6777F"/>
    <w:rsid w:val="00F71B3B"/>
    <w:rsid w:val="00F73DD4"/>
    <w:rsid w:val="00F757CB"/>
    <w:rsid w:val="00F76229"/>
    <w:rsid w:val="00F7707A"/>
    <w:rsid w:val="00F81BED"/>
    <w:rsid w:val="00F823F8"/>
    <w:rsid w:val="00F827A7"/>
    <w:rsid w:val="00F845CD"/>
    <w:rsid w:val="00F84826"/>
    <w:rsid w:val="00F84DA9"/>
    <w:rsid w:val="00F8537B"/>
    <w:rsid w:val="00F85665"/>
    <w:rsid w:val="00F91504"/>
    <w:rsid w:val="00F91F1B"/>
    <w:rsid w:val="00F9248F"/>
    <w:rsid w:val="00F934A3"/>
    <w:rsid w:val="00FA1712"/>
    <w:rsid w:val="00FA497D"/>
    <w:rsid w:val="00FA5F84"/>
    <w:rsid w:val="00FA61CE"/>
    <w:rsid w:val="00FB222C"/>
    <w:rsid w:val="00FB26EC"/>
    <w:rsid w:val="00FB36AD"/>
    <w:rsid w:val="00FB4529"/>
    <w:rsid w:val="00FB52EE"/>
    <w:rsid w:val="00FB5617"/>
    <w:rsid w:val="00FB73B2"/>
    <w:rsid w:val="00FC018E"/>
    <w:rsid w:val="00FC0248"/>
    <w:rsid w:val="00FC111D"/>
    <w:rsid w:val="00FC2EA1"/>
    <w:rsid w:val="00FC461C"/>
    <w:rsid w:val="00FC72D7"/>
    <w:rsid w:val="00FD037B"/>
    <w:rsid w:val="00FD1B8E"/>
    <w:rsid w:val="00FD4EF4"/>
    <w:rsid w:val="00FD59FA"/>
    <w:rsid w:val="00FE0142"/>
    <w:rsid w:val="00FE19B3"/>
    <w:rsid w:val="00FE289B"/>
    <w:rsid w:val="00FE3FAE"/>
    <w:rsid w:val="00FE42A6"/>
    <w:rsid w:val="00FE6A1E"/>
    <w:rsid w:val="00FE756A"/>
    <w:rsid w:val="00FF0284"/>
    <w:rsid w:val="00FF0D7A"/>
    <w:rsid w:val="00FF1670"/>
    <w:rsid w:val="00FF2D0B"/>
    <w:rsid w:val="00FF3444"/>
    <w:rsid w:val="00FF546C"/>
    <w:rsid w:val="00FF599F"/>
    <w:rsid w:val="00FF6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2E8D"/>
    <w:pPr>
      <w:widowControl w:val="0"/>
      <w:jc w:val="both"/>
    </w:pPr>
    <w:rPr>
      <w:kern w:val="2"/>
      <w:sz w:val="21"/>
      <w:szCs w:val="24"/>
    </w:rPr>
  </w:style>
  <w:style w:type="paragraph" w:styleId="1">
    <w:name w:val="heading 1"/>
    <w:basedOn w:val="a"/>
    <w:next w:val="a"/>
    <w:link w:val="1Char"/>
    <w:qFormat/>
    <w:rsid w:val="004E045A"/>
    <w:pPr>
      <w:keepNext/>
      <w:keepLines/>
      <w:spacing w:before="340" w:after="330" w:line="578" w:lineRule="auto"/>
      <w:outlineLvl w:val="0"/>
    </w:pPr>
    <w:rPr>
      <w:b/>
      <w:bCs/>
      <w:kern w:val="44"/>
      <w:sz w:val="44"/>
      <w:szCs w:val="44"/>
    </w:rPr>
  </w:style>
  <w:style w:type="paragraph" w:styleId="3">
    <w:name w:val="heading 3"/>
    <w:basedOn w:val="a"/>
    <w:qFormat/>
    <w:rsid w:val="00922A0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6D0A27"/>
    <w:rPr>
      <w:rFonts w:ascii="Tahoma" w:hAnsi="Tahoma"/>
    </w:rPr>
  </w:style>
  <w:style w:type="paragraph" w:styleId="a3">
    <w:name w:val="header"/>
    <w:basedOn w:val="a"/>
    <w:rsid w:val="00327158"/>
    <w:pPr>
      <w:pBdr>
        <w:bottom w:val="single" w:sz="6" w:space="1" w:color="auto"/>
      </w:pBdr>
      <w:tabs>
        <w:tab w:val="center" w:pos="4153"/>
        <w:tab w:val="right" w:pos="8306"/>
      </w:tabs>
      <w:snapToGrid w:val="0"/>
      <w:jc w:val="center"/>
    </w:pPr>
    <w:rPr>
      <w:sz w:val="18"/>
      <w:szCs w:val="18"/>
    </w:rPr>
  </w:style>
  <w:style w:type="paragraph" w:styleId="a4">
    <w:name w:val="footer"/>
    <w:basedOn w:val="a"/>
    <w:rsid w:val="00327158"/>
    <w:pPr>
      <w:tabs>
        <w:tab w:val="center" w:pos="4153"/>
        <w:tab w:val="right" w:pos="8306"/>
      </w:tabs>
      <w:snapToGrid w:val="0"/>
      <w:jc w:val="left"/>
    </w:pPr>
    <w:rPr>
      <w:sz w:val="18"/>
      <w:szCs w:val="18"/>
    </w:rPr>
  </w:style>
  <w:style w:type="table" w:styleId="a5">
    <w:name w:val="Table Grid"/>
    <w:basedOn w:val="a1"/>
    <w:rsid w:val="00BB67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822427"/>
    <w:rPr>
      <w:sz w:val="18"/>
      <w:szCs w:val="18"/>
    </w:rPr>
  </w:style>
  <w:style w:type="character" w:styleId="a7">
    <w:name w:val="page number"/>
    <w:basedOn w:val="a0"/>
    <w:rsid w:val="00045A6D"/>
  </w:style>
  <w:style w:type="paragraph" w:customStyle="1" w:styleId="a8">
    <w:name w:val="段"/>
    <w:rsid w:val="001941D6"/>
    <w:pPr>
      <w:tabs>
        <w:tab w:val="center" w:pos="4201"/>
        <w:tab w:val="right" w:leader="dot" w:pos="9298"/>
      </w:tabs>
      <w:autoSpaceDE w:val="0"/>
      <w:autoSpaceDN w:val="0"/>
      <w:ind w:firstLineChars="200" w:firstLine="420"/>
      <w:jc w:val="both"/>
    </w:pPr>
    <w:rPr>
      <w:rFonts w:ascii="宋体" w:cs="宋体"/>
      <w:noProof/>
      <w:sz w:val="21"/>
      <w:szCs w:val="21"/>
    </w:rPr>
  </w:style>
  <w:style w:type="paragraph" w:styleId="a9">
    <w:name w:val="Body Text Indent"/>
    <w:basedOn w:val="a"/>
    <w:link w:val="Char0"/>
    <w:uiPriority w:val="99"/>
    <w:rsid w:val="009742C4"/>
    <w:pPr>
      <w:spacing w:after="120"/>
      <w:ind w:leftChars="200" w:left="420"/>
    </w:pPr>
  </w:style>
  <w:style w:type="character" w:customStyle="1" w:styleId="Char0">
    <w:name w:val="正文文本缩进 Char"/>
    <w:basedOn w:val="a0"/>
    <w:link w:val="a9"/>
    <w:uiPriority w:val="99"/>
    <w:rsid w:val="009742C4"/>
    <w:rPr>
      <w:kern w:val="2"/>
      <w:sz w:val="21"/>
      <w:szCs w:val="24"/>
    </w:rPr>
  </w:style>
  <w:style w:type="paragraph" w:styleId="aa">
    <w:name w:val="Revision"/>
    <w:hidden/>
    <w:uiPriority w:val="99"/>
    <w:semiHidden/>
    <w:rsid w:val="00AB09C2"/>
    <w:rPr>
      <w:kern w:val="2"/>
      <w:sz w:val="21"/>
      <w:szCs w:val="24"/>
    </w:rPr>
  </w:style>
  <w:style w:type="paragraph" w:styleId="ab">
    <w:name w:val="Date"/>
    <w:basedOn w:val="a"/>
    <w:next w:val="a"/>
    <w:link w:val="Char1"/>
    <w:rsid w:val="00AB09C2"/>
    <w:pPr>
      <w:ind w:leftChars="2500" w:left="100"/>
    </w:pPr>
  </w:style>
  <w:style w:type="character" w:customStyle="1" w:styleId="Char1">
    <w:name w:val="日期 Char"/>
    <w:basedOn w:val="a0"/>
    <w:link w:val="ab"/>
    <w:rsid w:val="00AB09C2"/>
    <w:rPr>
      <w:kern w:val="2"/>
      <w:sz w:val="21"/>
      <w:szCs w:val="24"/>
    </w:rPr>
  </w:style>
  <w:style w:type="paragraph" w:styleId="ac">
    <w:name w:val="List Paragraph"/>
    <w:basedOn w:val="a"/>
    <w:uiPriority w:val="34"/>
    <w:qFormat/>
    <w:rsid w:val="00AB09C2"/>
    <w:pPr>
      <w:ind w:firstLineChars="200" w:firstLine="420"/>
    </w:pPr>
  </w:style>
  <w:style w:type="character" w:styleId="ad">
    <w:name w:val="Strong"/>
    <w:basedOn w:val="a0"/>
    <w:uiPriority w:val="22"/>
    <w:qFormat/>
    <w:rsid w:val="004E045A"/>
    <w:rPr>
      <w:b/>
      <w:bCs/>
    </w:rPr>
  </w:style>
  <w:style w:type="character" w:customStyle="1" w:styleId="1Char">
    <w:name w:val="标题 1 Char"/>
    <w:basedOn w:val="a0"/>
    <w:link w:val="1"/>
    <w:rsid w:val="004E045A"/>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91704679">
      <w:bodyDiv w:val="1"/>
      <w:marLeft w:val="0"/>
      <w:marRight w:val="0"/>
      <w:marTop w:val="0"/>
      <w:marBottom w:val="0"/>
      <w:divBdr>
        <w:top w:val="none" w:sz="0" w:space="0" w:color="auto"/>
        <w:left w:val="none" w:sz="0" w:space="0" w:color="auto"/>
        <w:bottom w:val="none" w:sz="0" w:space="0" w:color="auto"/>
        <w:right w:val="none" w:sz="0" w:space="0" w:color="auto"/>
      </w:divBdr>
    </w:div>
    <w:div w:id="133185610">
      <w:bodyDiv w:val="1"/>
      <w:marLeft w:val="0"/>
      <w:marRight w:val="0"/>
      <w:marTop w:val="0"/>
      <w:marBottom w:val="0"/>
      <w:divBdr>
        <w:top w:val="none" w:sz="0" w:space="0" w:color="auto"/>
        <w:left w:val="none" w:sz="0" w:space="0" w:color="auto"/>
        <w:bottom w:val="none" w:sz="0" w:space="0" w:color="auto"/>
        <w:right w:val="none" w:sz="0" w:space="0" w:color="auto"/>
      </w:divBdr>
      <w:divsChild>
        <w:div w:id="16398126">
          <w:marLeft w:val="0"/>
          <w:marRight w:val="0"/>
          <w:marTop w:val="0"/>
          <w:marBottom w:val="0"/>
          <w:divBdr>
            <w:top w:val="none" w:sz="0" w:space="0" w:color="auto"/>
            <w:left w:val="none" w:sz="0" w:space="0" w:color="auto"/>
            <w:bottom w:val="none" w:sz="0" w:space="0" w:color="auto"/>
            <w:right w:val="none" w:sz="0" w:space="0" w:color="auto"/>
          </w:divBdr>
        </w:div>
      </w:divsChild>
    </w:div>
    <w:div w:id="196895093">
      <w:bodyDiv w:val="1"/>
      <w:marLeft w:val="0"/>
      <w:marRight w:val="0"/>
      <w:marTop w:val="0"/>
      <w:marBottom w:val="0"/>
      <w:divBdr>
        <w:top w:val="none" w:sz="0" w:space="0" w:color="auto"/>
        <w:left w:val="none" w:sz="0" w:space="0" w:color="auto"/>
        <w:bottom w:val="none" w:sz="0" w:space="0" w:color="auto"/>
        <w:right w:val="none" w:sz="0" w:space="0" w:color="auto"/>
      </w:divBdr>
    </w:div>
    <w:div w:id="253824847">
      <w:bodyDiv w:val="1"/>
      <w:marLeft w:val="0"/>
      <w:marRight w:val="0"/>
      <w:marTop w:val="0"/>
      <w:marBottom w:val="0"/>
      <w:divBdr>
        <w:top w:val="none" w:sz="0" w:space="0" w:color="auto"/>
        <w:left w:val="none" w:sz="0" w:space="0" w:color="auto"/>
        <w:bottom w:val="none" w:sz="0" w:space="0" w:color="auto"/>
        <w:right w:val="none" w:sz="0" w:space="0" w:color="auto"/>
      </w:divBdr>
    </w:div>
    <w:div w:id="338430060">
      <w:bodyDiv w:val="1"/>
      <w:marLeft w:val="0"/>
      <w:marRight w:val="0"/>
      <w:marTop w:val="0"/>
      <w:marBottom w:val="0"/>
      <w:divBdr>
        <w:top w:val="none" w:sz="0" w:space="0" w:color="auto"/>
        <w:left w:val="none" w:sz="0" w:space="0" w:color="auto"/>
        <w:bottom w:val="none" w:sz="0" w:space="0" w:color="auto"/>
        <w:right w:val="none" w:sz="0" w:space="0" w:color="auto"/>
      </w:divBdr>
    </w:div>
    <w:div w:id="434181049">
      <w:bodyDiv w:val="1"/>
      <w:marLeft w:val="0"/>
      <w:marRight w:val="0"/>
      <w:marTop w:val="0"/>
      <w:marBottom w:val="0"/>
      <w:divBdr>
        <w:top w:val="none" w:sz="0" w:space="0" w:color="auto"/>
        <w:left w:val="none" w:sz="0" w:space="0" w:color="auto"/>
        <w:bottom w:val="none" w:sz="0" w:space="0" w:color="auto"/>
        <w:right w:val="none" w:sz="0" w:space="0" w:color="auto"/>
      </w:divBdr>
      <w:divsChild>
        <w:div w:id="1517039039">
          <w:marLeft w:val="0"/>
          <w:marRight w:val="0"/>
          <w:marTop w:val="0"/>
          <w:marBottom w:val="0"/>
          <w:divBdr>
            <w:top w:val="none" w:sz="0" w:space="0" w:color="auto"/>
            <w:left w:val="none" w:sz="0" w:space="0" w:color="auto"/>
            <w:bottom w:val="none" w:sz="0" w:space="0" w:color="auto"/>
            <w:right w:val="none" w:sz="0" w:space="0" w:color="auto"/>
          </w:divBdr>
          <w:divsChild>
            <w:div w:id="44916327">
              <w:marLeft w:val="0"/>
              <w:marRight w:val="0"/>
              <w:marTop w:val="0"/>
              <w:marBottom w:val="0"/>
              <w:divBdr>
                <w:top w:val="none" w:sz="0" w:space="0" w:color="auto"/>
                <w:left w:val="none" w:sz="0" w:space="0" w:color="auto"/>
                <w:bottom w:val="none" w:sz="0" w:space="0" w:color="auto"/>
                <w:right w:val="none" w:sz="0" w:space="0" w:color="auto"/>
              </w:divBdr>
            </w:div>
            <w:div w:id="347222703">
              <w:marLeft w:val="0"/>
              <w:marRight w:val="0"/>
              <w:marTop w:val="0"/>
              <w:marBottom w:val="0"/>
              <w:divBdr>
                <w:top w:val="none" w:sz="0" w:space="0" w:color="auto"/>
                <w:left w:val="none" w:sz="0" w:space="0" w:color="auto"/>
                <w:bottom w:val="none" w:sz="0" w:space="0" w:color="auto"/>
                <w:right w:val="none" w:sz="0" w:space="0" w:color="auto"/>
              </w:divBdr>
            </w:div>
            <w:div w:id="645470693">
              <w:marLeft w:val="0"/>
              <w:marRight w:val="0"/>
              <w:marTop w:val="0"/>
              <w:marBottom w:val="0"/>
              <w:divBdr>
                <w:top w:val="none" w:sz="0" w:space="0" w:color="auto"/>
                <w:left w:val="none" w:sz="0" w:space="0" w:color="auto"/>
                <w:bottom w:val="none" w:sz="0" w:space="0" w:color="auto"/>
                <w:right w:val="none" w:sz="0" w:space="0" w:color="auto"/>
              </w:divBdr>
            </w:div>
            <w:div w:id="734200006">
              <w:marLeft w:val="0"/>
              <w:marRight w:val="0"/>
              <w:marTop w:val="0"/>
              <w:marBottom w:val="0"/>
              <w:divBdr>
                <w:top w:val="none" w:sz="0" w:space="0" w:color="auto"/>
                <w:left w:val="none" w:sz="0" w:space="0" w:color="auto"/>
                <w:bottom w:val="none" w:sz="0" w:space="0" w:color="auto"/>
                <w:right w:val="none" w:sz="0" w:space="0" w:color="auto"/>
              </w:divBdr>
            </w:div>
            <w:div w:id="786243615">
              <w:marLeft w:val="0"/>
              <w:marRight w:val="0"/>
              <w:marTop w:val="0"/>
              <w:marBottom w:val="0"/>
              <w:divBdr>
                <w:top w:val="none" w:sz="0" w:space="0" w:color="auto"/>
                <w:left w:val="none" w:sz="0" w:space="0" w:color="auto"/>
                <w:bottom w:val="none" w:sz="0" w:space="0" w:color="auto"/>
                <w:right w:val="none" w:sz="0" w:space="0" w:color="auto"/>
              </w:divBdr>
            </w:div>
            <w:div w:id="1345665367">
              <w:marLeft w:val="0"/>
              <w:marRight w:val="0"/>
              <w:marTop w:val="0"/>
              <w:marBottom w:val="0"/>
              <w:divBdr>
                <w:top w:val="none" w:sz="0" w:space="0" w:color="auto"/>
                <w:left w:val="none" w:sz="0" w:space="0" w:color="auto"/>
                <w:bottom w:val="none" w:sz="0" w:space="0" w:color="auto"/>
                <w:right w:val="none" w:sz="0" w:space="0" w:color="auto"/>
              </w:divBdr>
            </w:div>
            <w:div w:id="1558975850">
              <w:marLeft w:val="0"/>
              <w:marRight w:val="0"/>
              <w:marTop w:val="0"/>
              <w:marBottom w:val="0"/>
              <w:divBdr>
                <w:top w:val="none" w:sz="0" w:space="0" w:color="auto"/>
                <w:left w:val="none" w:sz="0" w:space="0" w:color="auto"/>
                <w:bottom w:val="none" w:sz="0" w:space="0" w:color="auto"/>
                <w:right w:val="none" w:sz="0" w:space="0" w:color="auto"/>
              </w:divBdr>
            </w:div>
            <w:div w:id="1967345898">
              <w:marLeft w:val="0"/>
              <w:marRight w:val="0"/>
              <w:marTop w:val="0"/>
              <w:marBottom w:val="0"/>
              <w:divBdr>
                <w:top w:val="none" w:sz="0" w:space="0" w:color="auto"/>
                <w:left w:val="none" w:sz="0" w:space="0" w:color="auto"/>
                <w:bottom w:val="none" w:sz="0" w:space="0" w:color="auto"/>
                <w:right w:val="none" w:sz="0" w:space="0" w:color="auto"/>
              </w:divBdr>
            </w:div>
            <w:div w:id="2040277404">
              <w:marLeft w:val="0"/>
              <w:marRight w:val="0"/>
              <w:marTop w:val="0"/>
              <w:marBottom w:val="0"/>
              <w:divBdr>
                <w:top w:val="none" w:sz="0" w:space="0" w:color="auto"/>
                <w:left w:val="none" w:sz="0" w:space="0" w:color="auto"/>
                <w:bottom w:val="none" w:sz="0" w:space="0" w:color="auto"/>
                <w:right w:val="none" w:sz="0" w:space="0" w:color="auto"/>
              </w:divBdr>
            </w:div>
            <w:div w:id="21229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1545">
      <w:bodyDiv w:val="1"/>
      <w:marLeft w:val="0"/>
      <w:marRight w:val="0"/>
      <w:marTop w:val="0"/>
      <w:marBottom w:val="0"/>
      <w:divBdr>
        <w:top w:val="none" w:sz="0" w:space="0" w:color="auto"/>
        <w:left w:val="none" w:sz="0" w:space="0" w:color="auto"/>
        <w:bottom w:val="none" w:sz="0" w:space="0" w:color="auto"/>
        <w:right w:val="none" w:sz="0" w:space="0" w:color="auto"/>
      </w:divBdr>
    </w:div>
    <w:div w:id="1210411354">
      <w:bodyDiv w:val="1"/>
      <w:marLeft w:val="0"/>
      <w:marRight w:val="0"/>
      <w:marTop w:val="0"/>
      <w:marBottom w:val="0"/>
      <w:divBdr>
        <w:top w:val="none" w:sz="0" w:space="0" w:color="auto"/>
        <w:left w:val="none" w:sz="0" w:space="0" w:color="auto"/>
        <w:bottom w:val="none" w:sz="0" w:space="0" w:color="auto"/>
        <w:right w:val="none" w:sz="0" w:space="0" w:color="auto"/>
      </w:divBdr>
    </w:div>
    <w:div w:id="1331717964">
      <w:bodyDiv w:val="1"/>
      <w:marLeft w:val="0"/>
      <w:marRight w:val="0"/>
      <w:marTop w:val="0"/>
      <w:marBottom w:val="0"/>
      <w:divBdr>
        <w:top w:val="none" w:sz="0" w:space="0" w:color="auto"/>
        <w:left w:val="none" w:sz="0" w:space="0" w:color="auto"/>
        <w:bottom w:val="none" w:sz="0" w:space="0" w:color="auto"/>
        <w:right w:val="none" w:sz="0" w:space="0" w:color="auto"/>
      </w:divBdr>
    </w:div>
    <w:div w:id="13977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5</Pages>
  <Words>584</Words>
  <Characters>3334</Characters>
  <Application>Microsoft Office Word</Application>
  <DocSecurity>0</DocSecurity>
  <Lines>27</Lines>
  <Paragraphs>7</Paragraphs>
  <ScaleCrop>false</ScaleCrop>
  <Company>bbb</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dc:creator>
  <cp:lastModifiedBy>user</cp:lastModifiedBy>
  <cp:revision>25</cp:revision>
  <dcterms:created xsi:type="dcterms:W3CDTF">2015-01-27T08:23:00Z</dcterms:created>
  <dcterms:modified xsi:type="dcterms:W3CDTF">2015-05-06T09:59:00Z</dcterms:modified>
</cp:coreProperties>
</file>