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FD4" w:rsidRPr="003100AA" w:rsidRDefault="00BA69C4" w:rsidP="00E775BC">
      <w:pPr>
        <w:spacing w:line="360" w:lineRule="auto"/>
        <w:jc w:val="center"/>
        <w:rPr>
          <w:b/>
          <w:sz w:val="32"/>
          <w:szCs w:val="32"/>
        </w:rPr>
      </w:pPr>
      <w:r w:rsidRPr="00BA69C4">
        <w:rPr>
          <w:b/>
          <w:sz w:val="32"/>
          <w:szCs w:val="32"/>
        </w:rPr>
        <w:t>GB/T 8297-20XX</w:t>
      </w:r>
      <w:r w:rsidRPr="00BA69C4">
        <w:rPr>
          <w:rFonts w:hAnsi="宋体" w:hint="eastAsia"/>
          <w:b/>
          <w:sz w:val="32"/>
          <w:szCs w:val="32"/>
        </w:rPr>
        <w:t>《浓缩天然胶乳氢氧化钾</w:t>
      </w:r>
      <w:r w:rsidRPr="00BA69C4">
        <w:rPr>
          <w:b/>
          <w:sz w:val="32"/>
          <w:szCs w:val="32"/>
        </w:rPr>
        <w:t>(KOH)</w:t>
      </w:r>
      <w:r w:rsidRPr="00BA69C4">
        <w:rPr>
          <w:rFonts w:hAnsi="宋体"/>
          <w:b/>
          <w:sz w:val="32"/>
          <w:szCs w:val="32"/>
        </w:rPr>
        <w:t>值的</w:t>
      </w:r>
      <w:r w:rsidRPr="00BA69C4">
        <w:rPr>
          <w:rFonts w:hAnsi="宋体" w:hint="eastAsia"/>
          <w:b/>
          <w:sz w:val="32"/>
          <w:szCs w:val="32"/>
        </w:rPr>
        <w:t>测定》</w:t>
      </w:r>
    </w:p>
    <w:p w:rsidR="00C53FD4" w:rsidRPr="003100AA" w:rsidRDefault="00BA69C4" w:rsidP="00E775BC">
      <w:pPr>
        <w:spacing w:line="360" w:lineRule="auto"/>
        <w:jc w:val="center"/>
        <w:rPr>
          <w:b/>
          <w:sz w:val="32"/>
          <w:szCs w:val="32"/>
        </w:rPr>
      </w:pPr>
      <w:r w:rsidRPr="00BA69C4">
        <w:rPr>
          <w:rFonts w:hAnsi="宋体" w:hint="eastAsia"/>
          <w:b/>
          <w:sz w:val="32"/>
          <w:szCs w:val="32"/>
        </w:rPr>
        <w:t>（征求意见稿）编制说明</w:t>
      </w:r>
    </w:p>
    <w:p w:rsidR="00644AF2" w:rsidRPr="003100AA" w:rsidRDefault="00644AF2" w:rsidP="00E775BC">
      <w:pPr>
        <w:spacing w:line="360" w:lineRule="auto"/>
        <w:jc w:val="center"/>
        <w:rPr>
          <w:b/>
          <w:sz w:val="32"/>
          <w:szCs w:val="32"/>
        </w:rPr>
      </w:pPr>
    </w:p>
    <w:p w:rsidR="00F57C61" w:rsidRPr="003100AA" w:rsidRDefault="00BA69C4" w:rsidP="00E775BC">
      <w:pPr>
        <w:spacing w:line="360" w:lineRule="auto"/>
        <w:rPr>
          <w:rFonts w:eastAsia="黑体"/>
          <w:sz w:val="24"/>
        </w:rPr>
      </w:pPr>
      <w:r w:rsidRPr="00BA69C4">
        <w:rPr>
          <w:rFonts w:eastAsia="黑体"/>
          <w:sz w:val="24"/>
        </w:rPr>
        <w:t xml:space="preserve">1 </w:t>
      </w:r>
      <w:r w:rsidRPr="00BA69C4">
        <w:rPr>
          <w:rFonts w:eastAsia="黑体" w:hAnsi="黑体" w:hint="eastAsia"/>
          <w:sz w:val="24"/>
        </w:rPr>
        <w:t>简况</w:t>
      </w:r>
    </w:p>
    <w:p w:rsidR="00F57C61" w:rsidRPr="003100AA" w:rsidRDefault="00BA69C4" w:rsidP="00E775BC">
      <w:pPr>
        <w:spacing w:line="360" w:lineRule="auto"/>
        <w:rPr>
          <w:rFonts w:eastAsia="黑体"/>
          <w:bCs/>
          <w:sz w:val="24"/>
        </w:rPr>
      </w:pPr>
      <w:r w:rsidRPr="00BA69C4">
        <w:rPr>
          <w:rFonts w:eastAsia="黑体"/>
          <w:bCs/>
          <w:sz w:val="24"/>
        </w:rPr>
        <w:t xml:space="preserve">1.1 </w:t>
      </w:r>
      <w:r w:rsidRPr="00BA69C4">
        <w:rPr>
          <w:rFonts w:eastAsia="黑体" w:hAnsi="黑体" w:hint="eastAsia"/>
          <w:bCs/>
          <w:sz w:val="24"/>
        </w:rPr>
        <w:t>任务来源</w:t>
      </w:r>
    </w:p>
    <w:p w:rsidR="00D106CA" w:rsidRPr="003100AA" w:rsidRDefault="00BA69C4" w:rsidP="00E775BC">
      <w:pPr>
        <w:spacing w:line="360" w:lineRule="auto"/>
        <w:ind w:firstLineChars="200" w:firstLine="480"/>
        <w:rPr>
          <w:sz w:val="24"/>
        </w:rPr>
      </w:pPr>
      <w:r w:rsidRPr="00BA69C4">
        <w:rPr>
          <w:rFonts w:hAnsi="宋体" w:hint="eastAsia"/>
          <w:sz w:val="24"/>
        </w:rPr>
        <w:t>根据国标委综合</w:t>
      </w:r>
      <w:r w:rsidRPr="00BA69C4">
        <w:rPr>
          <w:sz w:val="24"/>
        </w:rPr>
        <w:t>[2014]89</w:t>
      </w:r>
      <w:r w:rsidRPr="00BA69C4">
        <w:rPr>
          <w:rFonts w:hAnsi="宋体" w:hint="eastAsia"/>
          <w:sz w:val="24"/>
        </w:rPr>
        <w:t>号文件</w:t>
      </w:r>
      <w:r w:rsidRPr="00BA69C4">
        <w:rPr>
          <w:rFonts w:hint="eastAsia"/>
          <w:sz w:val="24"/>
        </w:rPr>
        <w:t>“</w:t>
      </w:r>
      <w:r w:rsidRPr="00BA69C4">
        <w:rPr>
          <w:rFonts w:hAnsi="宋体" w:hint="eastAsia"/>
          <w:sz w:val="24"/>
        </w:rPr>
        <w:t>国家标准委关于下达</w:t>
      </w:r>
      <w:r w:rsidRPr="00BA69C4">
        <w:rPr>
          <w:sz w:val="24"/>
        </w:rPr>
        <w:t>2014</w:t>
      </w:r>
      <w:r w:rsidRPr="00BA69C4">
        <w:rPr>
          <w:rFonts w:hAnsi="宋体" w:hint="eastAsia"/>
          <w:sz w:val="24"/>
        </w:rPr>
        <w:t>年第二批国家标准制修订计划的通知</w:t>
      </w:r>
      <w:r w:rsidRPr="00BA69C4">
        <w:rPr>
          <w:rFonts w:hint="eastAsia"/>
          <w:sz w:val="24"/>
        </w:rPr>
        <w:t>”</w:t>
      </w:r>
      <w:r w:rsidRPr="00BA69C4">
        <w:rPr>
          <w:rFonts w:hAnsi="宋体" w:hint="eastAsia"/>
          <w:sz w:val="24"/>
        </w:rPr>
        <w:t>，国家标准修订项目《浓缩天然胶乳</w:t>
      </w:r>
      <w:r w:rsidRPr="00BA69C4">
        <w:rPr>
          <w:sz w:val="24"/>
        </w:rPr>
        <w:t xml:space="preserve"> </w:t>
      </w:r>
      <w:r w:rsidRPr="00BA69C4">
        <w:rPr>
          <w:rFonts w:hAnsi="宋体" w:hint="eastAsia"/>
          <w:sz w:val="24"/>
        </w:rPr>
        <w:t>氢氧化钾</w:t>
      </w:r>
      <w:r w:rsidRPr="00BA69C4">
        <w:rPr>
          <w:sz w:val="24"/>
        </w:rPr>
        <w:t>(KOH)</w:t>
      </w:r>
      <w:r w:rsidRPr="00BA69C4">
        <w:rPr>
          <w:rFonts w:hAnsi="宋体" w:hint="eastAsia"/>
          <w:sz w:val="24"/>
        </w:rPr>
        <w:t>值的测定》（项目编号</w:t>
      </w:r>
      <w:r w:rsidRPr="00BA69C4">
        <w:rPr>
          <w:sz w:val="24"/>
        </w:rPr>
        <w:t>20142664-T-606</w:t>
      </w:r>
      <w:r w:rsidRPr="00BA69C4">
        <w:rPr>
          <w:rFonts w:hAnsi="宋体" w:hint="eastAsia"/>
          <w:sz w:val="24"/>
        </w:rPr>
        <w:t>），对</w:t>
      </w:r>
      <w:r w:rsidRPr="00BA69C4">
        <w:rPr>
          <w:sz w:val="24"/>
        </w:rPr>
        <w:t>GB/T 8297-2008</w:t>
      </w:r>
      <w:r w:rsidRPr="00BA69C4">
        <w:rPr>
          <w:rFonts w:hAnsi="宋体" w:hint="eastAsia"/>
          <w:sz w:val="24"/>
        </w:rPr>
        <w:t>《浓缩天然胶乳</w:t>
      </w:r>
      <w:r w:rsidRPr="00BA69C4">
        <w:rPr>
          <w:sz w:val="24"/>
        </w:rPr>
        <w:t xml:space="preserve"> </w:t>
      </w:r>
      <w:r w:rsidRPr="00BA69C4">
        <w:rPr>
          <w:rFonts w:hAnsi="宋体" w:hint="eastAsia"/>
          <w:sz w:val="24"/>
        </w:rPr>
        <w:t>氢氧化钾</w:t>
      </w:r>
      <w:r w:rsidRPr="00BA69C4">
        <w:rPr>
          <w:sz w:val="24"/>
        </w:rPr>
        <w:t>(KOH)</w:t>
      </w:r>
      <w:r w:rsidRPr="00BA69C4">
        <w:rPr>
          <w:rFonts w:hAnsi="宋体" w:hint="eastAsia"/>
          <w:sz w:val="24"/>
        </w:rPr>
        <w:t>值的测定》进行修订。由中国石油和化学工业联合会提出，全国橡胶与橡胶制品标准化技术委员会天然橡胶分技术委员会（</w:t>
      </w:r>
      <w:r w:rsidRPr="00BA69C4">
        <w:rPr>
          <w:sz w:val="24"/>
        </w:rPr>
        <w:t>SAC/TC 35/SC 8</w:t>
      </w:r>
      <w:r w:rsidRPr="00BA69C4">
        <w:rPr>
          <w:rFonts w:hAnsi="宋体" w:hint="eastAsia"/>
          <w:sz w:val="24"/>
        </w:rPr>
        <w:t>）归口，中国热带农业科学院农产品加工研究所负责起草</w:t>
      </w:r>
      <w:r w:rsidRPr="00BA69C4">
        <w:rPr>
          <w:sz w:val="24"/>
        </w:rPr>
        <w:t xml:space="preserve">, </w:t>
      </w:r>
      <w:r w:rsidRPr="00BA69C4">
        <w:rPr>
          <w:rFonts w:hAnsi="宋体" w:hint="eastAsia"/>
          <w:sz w:val="24"/>
        </w:rPr>
        <w:t>完成期限至</w:t>
      </w:r>
      <w:r w:rsidRPr="00BA69C4">
        <w:rPr>
          <w:sz w:val="24"/>
        </w:rPr>
        <w:t>2016</w:t>
      </w:r>
      <w:r w:rsidRPr="00BA69C4">
        <w:rPr>
          <w:rFonts w:hAnsi="宋体" w:hint="eastAsia"/>
          <w:sz w:val="24"/>
        </w:rPr>
        <w:t>年</w:t>
      </w:r>
      <w:r w:rsidRPr="00BA69C4">
        <w:rPr>
          <w:sz w:val="24"/>
        </w:rPr>
        <w:t>12</w:t>
      </w:r>
      <w:r w:rsidRPr="00BA69C4">
        <w:rPr>
          <w:rFonts w:hAnsi="宋体" w:hint="eastAsia"/>
          <w:sz w:val="24"/>
        </w:rPr>
        <w:t>月。</w:t>
      </w:r>
    </w:p>
    <w:p w:rsidR="00F57C61" w:rsidRPr="003100AA" w:rsidRDefault="00BA69C4" w:rsidP="00E775BC">
      <w:pPr>
        <w:spacing w:line="360" w:lineRule="auto"/>
        <w:rPr>
          <w:rFonts w:eastAsia="黑体"/>
          <w:bCs/>
          <w:sz w:val="24"/>
        </w:rPr>
      </w:pPr>
      <w:r w:rsidRPr="00BA69C4">
        <w:rPr>
          <w:rFonts w:eastAsia="黑体"/>
          <w:bCs/>
          <w:sz w:val="24"/>
        </w:rPr>
        <w:t xml:space="preserve">1.2 </w:t>
      </w:r>
      <w:r w:rsidRPr="00BA69C4">
        <w:rPr>
          <w:rFonts w:eastAsia="黑体" w:hAnsi="黑体" w:hint="eastAsia"/>
          <w:bCs/>
          <w:sz w:val="24"/>
        </w:rPr>
        <w:t>本标准制定的意义</w:t>
      </w:r>
    </w:p>
    <w:p w:rsidR="009742C4" w:rsidRPr="003100AA" w:rsidRDefault="00BA69C4" w:rsidP="009742C4">
      <w:pPr>
        <w:pStyle w:val="a9"/>
        <w:spacing w:line="360" w:lineRule="auto"/>
        <w:ind w:leftChars="0" w:left="0" w:firstLineChars="200" w:firstLine="480"/>
        <w:rPr>
          <w:sz w:val="24"/>
        </w:rPr>
      </w:pPr>
      <w:r w:rsidRPr="00BA69C4">
        <w:rPr>
          <w:rFonts w:hAnsi="宋体" w:hint="eastAsia"/>
          <w:sz w:val="24"/>
        </w:rPr>
        <w:t>天然胶乳具有优异的成膜性、湿凝胶强度、生物相容性等综合性能，是制造各种乳胶制品最理想的高分子材料。我国是天然橡胶消费大国，年消耗天然橡胶</w:t>
      </w:r>
      <w:r w:rsidRPr="00BA69C4">
        <w:rPr>
          <w:sz w:val="24"/>
        </w:rPr>
        <w:t>300</w:t>
      </w:r>
      <w:r w:rsidRPr="00BA69C4">
        <w:rPr>
          <w:rFonts w:hAnsi="宋体" w:hint="eastAsia"/>
          <w:sz w:val="24"/>
        </w:rPr>
        <w:t>多万吨，其中，浓缩天然胶乳消耗量</w:t>
      </w:r>
      <w:r w:rsidRPr="00BA69C4">
        <w:rPr>
          <w:sz w:val="24"/>
        </w:rPr>
        <w:t>50</w:t>
      </w:r>
      <w:r w:rsidRPr="00BA69C4">
        <w:rPr>
          <w:rFonts w:hAnsi="宋体" w:hint="eastAsia"/>
          <w:sz w:val="24"/>
        </w:rPr>
        <w:t>多万吨，除大约</w:t>
      </w:r>
      <w:r w:rsidRPr="00BA69C4">
        <w:rPr>
          <w:sz w:val="24"/>
        </w:rPr>
        <w:t>20</w:t>
      </w:r>
      <w:r w:rsidRPr="00BA69C4">
        <w:rPr>
          <w:rFonts w:hAnsi="宋体" w:hint="eastAsia"/>
          <w:sz w:val="24"/>
        </w:rPr>
        <w:t>万吨国产胶乳外，进口浓缩天然胶乳</w:t>
      </w:r>
      <w:r w:rsidRPr="00BA69C4">
        <w:rPr>
          <w:sz w:val="24"/>
        </w:rPr>
        <w:t>30</w:t>
      </w:r>
      <w:r w:rsidRPr="00BA69C4">
        <w:rPr>
          <w:rFonts w:hAnsi="宋体" w:hint="eastAsia"/>
          <w:sz w:val="24"/>
        </w:rPr>
        <w:t>多万吨。</w:t>
      </w:r>
      <w:r w:rsidR="0029449E">
        <w:rPr>
          <w:rFonts w:hAnsi="宋体" w:hint="eastAsia"/>
          <w:sz w:val="24"/>
        </w:rPr>
        <w:t>天然胶乳是通过橡胶树生物合成的高分子乳液，与合成相比，橡胶树生长和天然胶乳生物合成过程很容易受种植因素影响而导致天然胶乳质量发生变异，从而影响下游乳胶制品生产工艺和产品质量控制。因此</w:t>
      </w:r>
      <w:r w:rsidRPr="00BA69C4">
        <w:rPr>
          <w:rFonts w:hAnsi="宋体" w:hint="eastAsia"/>
          <w:sz w:val="24"/>
        </w:rPr>
        <w:t>，浓缩天然胶乳的质量问题一直是胶乳行业最关注的问题之一</w:t>
      </w:r>
      <w:r w:rsidR="00C71A5A">
        <w:rPr>
          <w:rFonts w:hAnsi="宋体" w:hint="eastAsia"/>
          <w:sz w:val="24"/>
        </w:rPr>
        <w:t>。近年来，</w:t>
      </w:r>
      <w:r w:rsidR="0029449E">
        <w:rPr>
          <w:rFonts w:hAnsi="宋体" w:hint="eastAsia"/>
          <w:sz w:val="24"/>
        </w:rPr>
        <w:t>随着我国全面推广乙烯利刺激采胶技术，天然胶乳的采胶周期由以前的每天一次改为七天一次。与此同时，我国天然橡胶初加工模式也发生了很大变化，由过去的分散加工改为集中加工，新鲜胶乳的运输距离和贮存时间显著延长，使</w:t>
      </w:r>
      <w:r w:rsidRPr="00BA69C4">
        <w:rPr>
          <w:rFonts w:hAnsi="宋体" w:hint="eastAsia"/>
          <w:sz w:val="24"/>
        </w:rPr>
        <w:t>浓缩天然胶乳的质量</w:t>
      </w:r>
      <w:r w:rsidR="00C71A5A">
        <w:rPr>
          <w:rFonts w:hAnsi="宋体" w:hint="eastAsia"/>
          <w:sz w:val="24"/>
        </w:rPr>
        <w:t>问题更加突出</w:t>
      </w:r>
      <w:r w:rsidRPr="00BA69C4">
        <w:rPr>
          <w:rFonts w:hAnsi="宋体" w:hint="eastAsia"/>
          <w:sz w:val="24"/>
        </w:rPr>
        <w:t>，</w:t>
      </w:r>
      <w:r w:rsidR="00C71A5A">
        <w:rPr>
          <w:rFonts w:hAnsi="宋体" w:hint="eastAsia"/>
          <w:sz w:val="24"/>
        </w:rPr>
        <w:t>机械稳定性、</w:t>
      </w:r>
      <w:r w:rsidR="00151B4B">
        <w:rPr>
          <w:rFonts w:hAnsi="宋体" w:hint="eastAsia"/>
          <w:sz w:val="24"/>
        </w:rPr>
        <w:t>化学稳定性</w:t>
      </w:r>
      <w:r w:rsidR="00C71A5A">
        <w:rPr>
          <w:rFonts w:hAnsi="宋体" w:hint="eastAsia"/>
          <w:sz w:val="24"/>
        </w:rPr>
        <w:t>、挥发性脂肪酸值等技术指标都</w:t>
      </w:r>
      <w:r w:rsidR="00151B4B">
        <w:rPr>
          <w:rFonts w:hAnsi="宋体" w:hint="eastAsia"/>
          <w:sz w:val="24"/>
        </w:rPr>
        <w:t>存在较大的波动性，直接影响下游乳胶制品生产工艺控制。</w:t>
      </w:r>
      <w:r w:rsidR="00703274">
        <w:rPr>
          <w:rFonts w:hAnsi="宋体" w:hint="eastAsia"/>
          <w:sz w:val="24"/>
        </w:rPr>
        <w:t>进口天然胶乳，特别是来源于新兴产胶国（如越南、老挝、柬埔寨等）的浓缩天然胶乳同样出现</w:t>
      </w:r>
      <w:r w:rsidR="0029449E">
        <w:rPr>
          <w:rFonts w:hAnsi="宋体" w:hint="eastAsia"/>
          <w:sz w:val="24"/>
        </w:rPr>
        <w:t>类似问题</w:t>
      </w:r>
      <w:r w:rsidR="00703274">
        <w:rPr>
          <w:rFonts w:hAnsi="宋体" w:hint="eastAsia"/>
          <w:sz w:val="24"/>
        </w:rPr>
        <w:t>。</w:t>
      </w:r>
      <w:r w:rsidRPr="00BA69C4">
        <w:rPr>
          <w:rFonts w:hAnsi="宋体" w:hint="eastAsia"/>
          <w:sz w:val="24"/>
        </w:rPr>
        <w:t>因此，</w:t>
      </w:r>
      <w:r w:rsidR="002C051A" w:rsidRPr="00BA69C4">
        <w:rPr>
          <w:rFonts w:hAnsi="宋体" w:hint="eastAsia"/>
          <w:sz w:val="24"/>
        </w:rPr>
        <w:t>完善浓缩天然胶乳质量检测标准</w:t>
      </w:r>
      <w:r w:rsidR="002C051A">
        <w:rPr>
          <w:rFonts w:hAnsi="宋体" w:hint="eastAsia"/>
          <w:sz w:val="24"/>
        </w:rPr>
        <w:t>，对于</w:t>
      </w:r>
      <w:r w:rsidRPr="00BA69C4">
        <w:rPr>
          <w:rFonts w:hAnsi="宋体" w:hint="eastAsia"/>
          <w:sz w:val="24"/>
        </w:rPr>
        <w:t>加强浓缩天然胶乳质量管理至关重要。</w:t>
      </w:r>
    </w:p>
    <w:p w:rsidR="001E30DE" w:rsidRPr="003100AA" w:rsidRDefault="00BA69C4" w:rsidP="00314018">
      <w:pPr>
        <w:spacing w:line="360" w:lineRule="auto"/>
        <w:ind w:firstLineChars="200" w:firstLine="480"/>
        <w:rPr>
          <w:sz w:val="24"/>
        </w:rPr>
      </w:pPr>
      <w:r w:rsidRPr="00BA69C4">
        <w:rPr>
          <w:rFonts w:hAnsi="宋体" w:hint="eastAsia"/>
          <w:sz w:val="24"/>
        </w:rPr>
        <w:t>氢氧化钾值在一定程度上代表了浓缩天然胶乳的化学</w:t>
      </w:r>
      <w:r w:rsidR="002C051A" w:rsidRPr="00BA69C4">
        <w:rPr>
          <w:rFonts w:hAnsi="宋体" w:hint="eastAsia"/>
          <w:sz w:val="24"/>
        </w:rPr>
        <w:t>稳定</w:t>
      </w:r>
      <w:r w:rsidR="002C051A">
        <w:rPr>
          <w:rFonts w:hAnsi="宋体" w:hint="eastAsia"/>
          <w:sz w:val="24"/>
        </w:rPr>
        <w:t>性</w:t>
      </w:r>
      <w:r w:rsidRPr="00BA69C4">
        <w:rPr>
          <w:rFonts w:hAnsi="宋体" w:hint="eastAsia"/>
          <w:sz w:val="24"/>
        </w:rPr>
        <w:t>，对浓缩天然胶乳的长期贮存稳定</w:t>
      </w:r>
      <w:r w:rsidR="006324D5">
        <w:rPr>
          <w:rFonts w:hAnsi="宋体" w:hint="eastAsia"/>
          <w:sz w:val="24"/>
        </w:rPr>
        <w:t>性以及下游乳胶制品生产工艺控制</w:t>
      </w:r>
      <w:r w:rsidRPr="00BA69C4">
        <w:rPr>
          <w:rFonts w:hAnsi="宋体" w:hint="eastAsia"/>
          <w:sz w:val="24"/>
        </w:rPr>
        <w:t>具有指导意义，是评价</w:t>
      </w:r>
      <w:r w:rsidR="006324D5">
        <w:rPr>
          <w:rFonts w:hAnsi="宋体" w:hint="eastAsia"/>
          <w:sz w:val="24"/>
        </w:rPr>
        <w:t>浓缩天然胶乳</w:t>
      </w:r>
      <w:r w:rsidRPr="00BA69C4">
        <w:rPr>
          <w:rFonts w:hAnsi="宋体" w:hint="eastAsia"/>
          <w:sz w:val="24"/>
        </w:rPr>
        <w:t>质量的重要</w:t>
      </w:r>
      <w:r w:rsidR="006324D5">
        <w:rPr>
          <w:rFonts w:hAnsi="宋体" w:hint="eastAsia"/>
          <w:sz w:val="24"/>
        </w:rPr>
        <w:t>技术</w:t>
      </w:r>
      <w:r w:rsidRPr="00BA69C4">
        <w:rPr>
          <w:rFonts w:hAnsi="宋体" w:hint="eastAsia"/>
          <w:sz w:val="24"/>
        </w:rPr>
        <w:t>指标之一。为此，国际标准化组织</w:t>
      </w:r>
      <w:r w:rsidRPr="00BA69C4">
        <w:rPr>
          <w:rFonts w:hint="eastAsia"/>
          <w:sz w:val="24"/>
        </w:rPr>
        <w:t>“</w:t>
      </w:r>
      <w:r w:rsidRPr="00BA69C4">
        <w:rPr>
          <w:rFonts w:hAnsi="宋体" w:hint="eastAsia"/>
          <w:sz w:val="24"/>
        </w:rPr>
        <w:t>橡胶与橡胶制品标准化技术委员会</w:t>
      </w:r>
      <w:r w:rsidRPr="00BA69C4">
        <w:rPr>
          <w:rFonts w:hint="eastAsia"/>
          <w:sz w:val="24"/>
        </w:rPr>
        <w:t>”</w:t>
      </w:r>
      <w:r w:rsidRPr="00BA69C4">
        <w:rPr>
          <w:rFonts w:hAnsi="宋体" w:hint="eastAsia"/>
          <w:sz w:val="24"/>
        </w:rPr>
        <w:t>（</w:t>
      </w:r>
      <w:r w:rsidRPr="00BA69C4">
        <w:rPr>
          <w:sz w:val="24"/>
        </w:rPr>
        <w:t>ISO/TC45</w:t>
      </w:r>
      <w:r w:rsidRPr="00BA69C4">
        <w:rPr>
          <w:rFonts w:hAnsi="宋体" w:hint="eastAsia"/>
          <w:sz w:val="24"/>
        </w:rPr>
        <w:t>）于</w:t>
      </w:r>
      <w:r w:rsidRPr="00BA69C4">
        <w:rPr>
          <w:sz w:val="24"/>
        </w:rPr>
        <w:t>1972</w:t>
      </w:r>
      <w:r w:rsidRPr="00BA69C4">
        <w:rPr>
          <w:rFonts w:hAnsi="宋体" w:hint="eastAsia"/>
          <w:sz w:val="24"/>
        </w:rPr>
        <w:t>年首次发布了</w:t>
      </w:r>
      <w:r w:rsidRPr="00BA69C4">
        <w:rPr>
          <w:sz w:val="24"/>
        </w:rPr>
        <w:t>ISO 127</w:t>
      </w:r>
      <w:r w:rsidRPr="00BA69C4">
        <w:rPr>
          <w:rFonts w:hAnsi="宋体" w:hint="eastAsia"/>
          <w:sz w:val="24"/>
        </w:rPr>
        <w:t>：</w:t>
      </w:r>
      <w:r w:rsidRPr="00BA69C4">
        <w:rPr>
          <w:sz w:val="24"/>
        </w:rPr>
        <w:t>1972</w:t>
      </w:r>
      <w:r w:rsidRPr="00BA69C4">
        <w:rPr>
          <w:rFonts w:hAnsi="宋体" w:hint="eastAsia"/>
          <w:sz w:val="24"/>
        </w:rPr>
        <w:t>《浓缩天然胶乳</w:t>
      </w:r>
      <w:r w:rsidRPr="00BA69C4">
        <w:rPr>
          <w:sz w:val="24"/>
        </w:rPr>
        <w:t xml:space="preserve"> </w:t>
      </w:r>
      <w:r w:rsidRPr="00BA69C4">
        <w:rPr>
          <w:rFonts w:hAnsi="宋体" w:hint="eastAsia"/>
          <w:sz w:val="24"/>
        </w:rPr>
        <w:t>氢氧化钾</w:t>
      </w:r>
      <w:r w:rsidRPr="00BA69C4">
        <w:rPr>
          <w:sz w:val="24"/>
        </w:rPr>
        <w:t>(KOH)</w:t>
      </w:r>
      <w:r w:rsidRPr="00BA69C4">
        <w:rPr>
          <w:rFonts w:hAnsi="宋体" w:hint="eastAsia"/>
          <w:sz w:val="24"/>
        </w:rPr>
        <w:t>值</w:t>
      </w:r>
      <w:r w:rsidRPr="00BA69C4">
        <w:rPr>
          <w:rFonts w:hAnsi="宋体" w:hint="eastAsia"/>
          <w:sz w:val="24"/>
        </w:rPr>
        <w:lastRenderedPageBreak/>
        <w:t>的测定》。随后，</w:t>
      </w:r>
      <w:r w:rsidR="006324D5">
        <w:rPr>
          <w:rFonts w:hAnsi="宋体" w:hint="eastAsia"/>
          <w:sz w:val="24"/>
        </w:rPr>
        <w:t>分别</w:t>
      </w:r>
      <w:r w:rsidRPr="00BA69C4">
        <w:rPr>
          <w:rFonts w:hAnsi="宋体" w:hint="eastAsia"/>
          <w:sz w:val="24"/>
        </w:rPr>
        <w:t>于</w:t>
      </w:r>
      <w:r w:rsidRPr="00BA69C4">
        <w:rPr>
          <w:sz w:val="24"/>
        </w:rPr>
        <w:t>1984</w:t>
      </w:r>
      <w:r w:rsidRPr="00BA69C4">
        <w:rPr>
          <w:rFonts w:hAnsi="宋体" w:hint="eastAsia"/>
          <w:sz w:val="24"/>
        </w:rPr>
        <w:t>年、</w:t>
      </w:r>
      <w:r w:rsidRPr="00BA69C4">
        <w:rPr>
          <w:sz w:val="24"/>
        </w:rPr>
        <w:t>1995</w:t>
      </w:r>
      <w:r w:rsidRPr="00BA69C4">
        <w:rPr>
          <w:rFonts w:hAnsi="宋体" w:hint="eastAsia"/>
          <w:sz w:val="24"/>
        </w:rPr>
        <w:t>年、</w:t>
      </w:r>
      <w:r w:rsidRPr="00BA69C4">
        <w:rPr>
          <w:sz w:val="24"/>
        </w:rPr>
        <w:t>2006</w:t>
      </w:r>
      <w:r w:rsidRPr="00BA69C4">
        <w:rPr>
          <w:rFonts w:hAnsi="宋体" w:hint="eastAsia"/>
          <w:sz w:val="24"/>
        </w:rPr>
        <w:t>年和</w:t>
      </w:r>
      <w:r w:rsidRPr="00BA69C4">
        <w:rPr>
          <w:sz w:val="24"/>
        </w:rPr>
        <w:t>2012</w:t>
      </w:r>
      <w:r w:rsidRPr="00BA69C4">
        <w:rPr>
          <w:rFonts w:hAnsi="宋体" w:hint="eastAsia"/>
          <w:sz w:val="24"/>
        </w:rPr>
        <w:t>年对其进行了</w:t>
      </w:r>
      <w:r w:rsidRPr="00BA69C4">
        <w:rPr>
          <w:sz w:val="24"/>
        </w:rPr>
        <w:t>4</w:t>
      </w:r>
      <w:r w:rsidRPr="00BA69C4">
        <w:rPr>
          <w:rFonts w:hAnsi="宋体" w:hint="eastAsia"/>
          <w:sz w:val="24"/>
        </w:rPr>
        <w:t>次修订，其中</w:t>
      </w:r>
      <w:r w:rsidRPr="00BA69C4">
        <w:rPr>
          <w:sz w:val="24"/>
        </w:rPr>
        <w:t>2006</w:t>
      </w:r>
      <w:r w:rsidRPr="00BA69C4">
        <w:rPr>
          <w:rFonts w:hAnsi="宋体" w:hint="eastAsia"/>
          <w:sz w:val="24"/>
        </w:rPr>
        <w:t>年</w:t>
      </w:r>
      <w:r w:rsidRPr="00BA69C4">
        <w:rPr>
          <w:rFonts w:hint="eastAsia"/>
          <w:sz w:val="24"/>
        </w:rPr>
        <w:t>发布</w:t>
      </w:r>
      <w:r>
        <w:rPr>
          <w:rFonts w:hint="eastAsia"/>
          <w:sz w:val="24"/>
        </w:rPr>
        <w:t>的</w:t>
      </w:r>
      <w:r w:rsidRPr="00BA69C4">
        <w:rPr>
          <w:sz w:val="24"/>
        </w:rPr>
        <w:t>ISO 127 AMD 1</w:t>
      </w:r>
      <w:r w:rsidRPr="00BA69C4">
        <w:rPr>
          <w:rFonts w:hAnsi="宋体" w:hint="eastAsia"/>
          <w:sz w:val="24"/>
        </w:rPr>
        <w:t>：</w:t>
      </w:r>
      <w:r w:rsidRPr="00BA69C4">
        <w:rPr>
          <w:sz w:val="24"/>
        </w:rPr>
        <w:t>2006</w:t>
      </w:r>
      <w:r>
        <w:rPr>
          <w:rFonts w:hint="eastAsia"/>
          <w:sz w:val="24"/>
        </w:rPr>
        <w:t>是</w:t>
      </w:r>
      <w:r w:rsidRPr="00BA69C4">
        <w:rPr>
          <w:rFonts w:hint="eastAsia"/>
          <w:sz w:val="24"/>
        </w:rPr>
        <w:t>关于</w:t>
      </w:r>
      <w:r w:rsidRPr="00BA69C4">
        <w:rPr>
          <w:sz w:val="24"/>
        </w:rPr>
        <w:t>ISO 127</w:t>
      </w:r>
      <w:r w:rsidRPr="00BA69C4">
        <w:rPr>
          <w:rFonts w:hint="eastAsia"/>
          <w:sz w:val="24"/>
        </w:rPr>
        <w:t>：</w:t>
      </w:r>
      <w:r w:rsidRPr="00BA69C4">
        <w:rPr>
          <w:sz w:val="24"/>
        </w:rPr>
        <w:t>1995</w:t>
      </w:r>
      <w:r w:rsidRPr="00BA69C4">
        <w:rPr>
          <w:rFonts w:hint="eastAsia"/>
          <w:sz w:val="24"/>
        </w:rPr>
        <w:t>的实验结果精密度说明的修改单</w:t>
      </w:r>
      <w:r w:rsidRPr="00BA69C4">
        <w:rPr>
          <w:rFonts w:hAnsi="宋体" w:hint="eastAsia"/>
          <w:sz w:val="24"/>
        </w:rPr>
        <w:t>。这充分说明了</w:t>
      </w:r>
      <w:r w:rsidRPr="00BA69C4">
        <w:rPr>
          <w:sz w:val="24"/>
        </w:rPr>
        <w:t>ISO/TC45</w:t>
      </w:r>
      <w:r w:rsidRPr="00BA69C4">
        <w:rPr>
          <w:rFonts w:hAnsi="宋体" w:hint="eastAsia"/>
          <w:sz w:val="24"/>
        </w:rPr>
        <w:t>对浓缩天然胶乳氢氧化钾值测定的重视程度。我国于</w:t>
      </w:r>
      <w:r w:rsidRPr="00BA69C4">
        <w:rPr>
          <w:sz w:val="24"/>
        </w:rPr>
        <w:t>1987</w:t>
      </w:r>
      <w:r w:rsidRPr="00BA69C4">
        <w:rPr>
          <w:rFonts w:hAnsi="宋体" w:hint="eastAsia"/>
          <w:sz w:val="24"/>
        </w:rPr>
        <w:t>年首次采用</w:t>
      </w:r>
      <w:r w:rsidRPr="00BA69C4">
        <w:rPr>
          <w:sz w:val="24"/>
        </w:rPr>
        <w:t>ISO 127</w:t>
      </w:r>
      <w:r w:rsidRPr="00BA69C4">
        <w:rPr>
          <w:rFonts w:hAnsi="宋体" w:hint="eastAsia"/>
          <w:sz w:val="24"/>
        </w:rPr>
        <w:t>：</w:t>
      </w:r>
      <w:r w:rsidRPr="00BA69C4">
        <w:rPr>
          <w:sz w:val="24"/>
        </w:rPr>
        <w:t>1984</w:t>
      </w:r>
      <w:r w:rsidRPr="00BA69C4">
        <w:rPr>
          <w:rFonts w:hAnsi="宋体" w:hint="eastAsia"/>
          <w:sz w:val="24"/>
        </w:rPr>
        <w:t>《天然胶乳</w:t>
      </w:r>
      <w:r w:rsidRPr="00BA69C4">
        <w:rPr>
          <w:sz w:val="24"/>
        </w:rPr>
        <w:t xml:space="preserve"> </w:t>
      </w:r>
      <w:r w:rsidRPr="00BA69C4">
        <w:rPr>
          <w:rFonts w:hAnsi="宋体" w:hint="eastAsia"/>
          <w:sz w:val="24"/>
        </w:rPr>
        <w:t>氢氧化钾</w:t>
      </w:r>
      <w:r w:rsidRPr="00BA69C4">
        <w:rPr>
          <w:sz w:val="24"/>
        </w:rPr>
        <w:t>(KOH)</w:t>
      </w:r>
      <w:r w:rsidRPr="00BA69C4">
        <w:rPr>
          <w:rFonts w:hAnsi="宋体" w:hint="eastAsia"/>
          <w:sz w:val="24"/>
        </w:rPr>
        <w:t>值的测定》制订了</w:t>
      </w:r>
      <w:r w:rsidRPr="00BA69C4">
        <w:rPr>
          <w:sz w:val="24"/>
        </w:rPr>
        <w:t>GB/T 8297-1987</w:t>
      </w:r>
      <w:r w:rsidRPr="00BA69C4">
        <w:rPr>
          <w:rFonts w:hAnsi="宋体" w:hint="eastAsia"/>
          <w:sz w:val="24"/>
        </w:rPr>
        <w:t>《天然浓缩胶乳</w:t>
      </w:r>
      <w:r w:rsidRPr="00BA69C4">
        <w:rPr>
          <w:sz w:val="24"/>
        </w:rPr>
        <w:t xml:space="preserve"> </w:t>
      </w:r>
      <w:r w:rsidRPr="00BA69C4">
        <w:rPr>
          <w:rFonts w:hAnsi="宋体" w:hint="eastAsia"/>
          <w:sz w:val="24"/>
        </w:rPr>
        <w:t>氢氧化钾</w:t>
      </w:r>
      <w:r w:rsidRPr="00BA69C4">
        <w:rPr>
          <w:sz w:val="24"/>
        </w:rPr>
        <w:t>(KOH)</w:t>
      </w:r>
      <w:r w:rsidRPr="00BA69C4">
        <w:rPr>
          <w:rFonts w:hAnsi="宋体" w:hint="eastAsia"/>
          <w:sz w:val="24"/>
        </w:rPr>
        <w:t>值的测定》。</w:t>
      </w:r>
      <w:r w:rsidRPr="00BA69C4">
        <w:rPr>
          <w:sz w:val="24"/>
        </w:rPr>
        <w:t>2001</w:t>
      </w:r>
      <w:r w:rsidRPr="00BA69C4">
        <w:rPr>
          <w:rFonts w:hAnsi="宋体" w:hint="eastAsia"/>
          <w:sz w:val="24"/>
        </w:rPr>
        <w:t>年和</w:t>
      </w:r>
      <w:r w:rsidRPr="00BA69C4">
        <w:rPr>
          <w:sz w:val="24"/>
        </w:rPr>
        <w:t>2008</w:t>
      </w:r>
      <w:r w:rsidRPr="00BA69C4">
        <w:rPr>
          <w:rFonts w:hAnsi="宋体" w:hint="eastAsia"/>
          <w:sz w:val="24"/>
        </w:rPr>
        <w:t>年又分别等同采用</w:t>
      </w:r>
      <w:r w:rsidRPr="00BA69C4">
        <w:rPr>
          <w:sz w:val="24"/>
        </w:rPr>
        <w:t>ISO 127</w:t>
      </w:r>
      <w:r w:rsidRPr="00BA69C4">
        <w:rPr>
          <w:rFonts w:hAnsi="宋体" w:hint="eastAsia"/>
          <w:sz w:val="24"/>
        </w:rPr>
        <w:t>：</w:t>
      </w:r>
      <w:r w:rsidRPr="00BA69C4">
        <w:rPr>
          <w:sz w:val="24"/>
        </w:rPr>
        <w:t>1995</w:t>
      </w:r>
      <w:r w:rsidRPr="00BA69C4">
        <w:rPr>
          <w:rFonts w:hAnsi="宋体" w:hint="eastAsia"/>
          <w:sz w:val="24"/>
        </w:rPr>
        <w:t>和</w:t>
      </w:r>
      <w:r w:rsidRPr="00BA69C4">
        <w:rPr>
          <w:sz w:val="24"/>
        </w:rPr>
        <w:t>ISO 127 AMD 1</w:t>
      </w:r>
      <w:r w:rsidRPr="00BA69C4">
        <w:rPr>
          <w:rFonts w:hAnsi="宋体" w:hint="eastAsia"/>
          <w:sz w:val="24"/>
        </w:rPr>
        <w:t>：</w:t>
      </w:r>
      <w:r w:rsidRPr="00BA69C4">
        <w:rPr>
          <w:sz w:val="24"/>
        </w:rPr>
        <w:t>2006</w:t>
      </w:r>
      <w:r w:rsidRPr="00BA69C4">
        <w:rPr>
          <w:rFonts w:hAnsi="宋体" w:hint="eastAsia"/>
          <w:sz w:val="24"/>
        </w:rPr>
        <w:t>对</w:t>
      </w:r>
      <w:r w:rsidRPr="00BA69C4">
        <w:rPr>
          <w:sz w:val="24"/>
        </w:rPr>
        <w:t>GB/T 8297</w:t>
      </w:r>
      <w:r w:rsidRPr="00BA69C4">
        <w:rPr>
          <w:rFonts w:hAnsi="宋体" w:hint="eastAsia"/>
          <w:sz w:val="24"/>
        </w:rPr>
        <w:t>《浓缩天然胶乳</w:t>
      </w:r>
      <w:r w:rsidRPr="00BA69C4">
        <w:rPr>
          <w:sz w:val="24"/>
        </w:rPr>
        <w:t xml:space="preserve"> </w:t>
      </w:r>
      <w:r w:rsidRPr="00BA69C4">
        <w:rPr>
          <w:rFonts w:hAnsi="宋体" w:hint="eastAsia"/>
          <w:sz w:val="24"/>
        </w:rPr>
        <w:t>氢氧化钾</w:t>
      </w:r>
      <w:r w:rsidRPr="00BA69C4">
        <w:rPr>
          <w:sz w:val="24"/>
        </w:rPr>
        <w:t>(KOH)</w:t>
      </w:r>
      <w:r w:rsidRPr="00BA69C4">
        <w:rPr>
          <w:rFonts w:hAnsi="宋体" w:hint="eastAsia"/>
          <w:sz w:val="24"/>
        </w:rPr>
        <w:t>值的测定》进行了修订。</w:t>
      </w:r>
    </w:p>
    <w:p w:rsidR="003D5B4F" w:rsidRPr="003100AA" w:rsidRDefault="00BA69C4" w:rsidP="00D8594E">
      <w:pPr>
        <w:spacing w:line="360" w:lineRule="auto"/>
        <w:ind w:firstLineChars="200" w:firstLine="480"/>
        <w:rPr>
          <w:sz w:val="24"/>
        </w:rPr>
      </w:pPr>
      <w:r w:rsidRPr="00BA69C4">
        <w:rPr>
          <w:rFonts w:hAnsi="宋体" w:hint="eastAsia"/>
          <w:sz w:val="24"/>
        </w:rPr>
        <w:t>氢氧化钾值是</w:t>
      </w:r>
      <w:r w:rsidRPr="00BA69C4">
        <w:rPr>
          <w:sz w:val="24"/>
        </w:rPr>
        <w:t>GB/T 8289</w:t>
      </w:r>
      <w:r w:rsidRPr="00BA69C4">
        <w:rPr>
          <w:rFonts w:hAnsi="宋体" w:hint="eastAsia"/>
          <w:sz w:val="24"/>
        </w:rPr>
        <w:t>《浓缩天然胶乳</w:t>
      </w:r>
      <w:r w:rsidRPr="00BA69C4">
        <w:rPr>
          <w:sz w:val="24"/>
        </w:rPr>
        <w:t xml:space="preserve"> </w:t>
      </w:r>
      <w:r w:rsidRPr="00BA69C4">
        <w:rPr>
          <w:rFonts w:hAnsi="宋体" w:hint="eastAsia"/>
          <w:sz w:val="24"/>
        </w:rPr>
        <w:t>氨保存离心或膏化胶乳</w:t>
      </w:r>
      <w:r w:rsidRPr="00BA69C4">
        <w:rPr>
          <w:sz w:val="24"/>
        </w:rPr>
        <w:t xml:space="preserve"> </w:t>
      </w:r>
      <w:r w:rsidRPr="00BA69C4">
        <w:rPr>
          <w:rFonts w:hAnsi="宋体" w:hint="eastAsia"/>
          <w:sz w:val="24"/>
        </w:rPr>
        <w:t>规格》的技术指标之一，因此，</w:t>
      </w:r>
      <w:r w:rsidRPr="00BA69C4">
        <w:rPr>
          <w:sz w:val="24"/>
        </w:rPr>
        <w:t>GB/T 8297</w:t>
      </w:r>
      <w:r w:rsidRPr="00BA69C4">
        <w:rPr>
          <w:rFonts w:hAnsi="宋体" w:hint="eastAsia"/>
          <w:sz w:val="24"/>
        </w:rPr>
        <w:t>《浓缩天然胶乳</w:t>
      </w:r>
      <w:r w:rsidRPr="00BA69C4">
        <w:rPr>
          <w:sz w:val="24"/>
        </w:rPr>
        <w:t xml:space="preserve"> </w:t>
      </w:r>
      <w:r w:rsidRPr="00BA69C4">
        <w:rPr>
          <w:rFonts w:hAnsi="宋体" w:hint="eastAsia"/>
          <w:sz w:val="24"/>
        </w:rPr>
        <w:t>氢氧化钾</w:t>
      </w:r>
      <w:r w:rsidRPr="00BA69C4">
        <w:rPr>
          <w:sz w:val="24"/>
        </w:rPr>
        <w:t>(KOH)</w:t>
      </w:r>
      <w:r w:rsidRPr="00BA69C4">
        <w:rPr>
          <w:rFonts w:hAnsi="宋体" w:hint="eastAsia"/>
          <w:sz w:val="24"/>
        </w:rPr>
        <w:t>值的测定》</w:t>
      </w:r>
      <w:r w:rsidRPr="00BA69C4">
        <w:rPr>
          <w:rFonts w:hAnsi="宋体"/>
          <w:sz w:val="24"/>
        </w:rPr>
        <w:t>在天然橡胶标准体系中具有不可或缺的作用。</w:t>
      </w:r>
      <w:r w:rsidRPr="00BA69C4">
        <w:rPr>
          <w:rFonts w:hAnsi="宋体" w:hint="eastAsia"/>
          <w:sz w:val="24"/>
        </w:rPr>
        <w:t>鉴于</w:t>
      </w:r>
      <w:r w:rsidRPr="00BA69C4">
        <w:rPr>
          <w:sz w:val="24"/>
        </w:rPr>
        <w:t>ISO/TC45</w:t>
      </w:r>
      <w:r w:rsidRPr="00BA69C4">
        <w:rPr>
          <w:rFonts w:hAnsi="宋体" w:hint="eastAsia"/>
          <w:sz w:val="24"/>
        </w:rPr>
        <w:t>于</w:t>
      </w:r>
      <w:r w:rsidRPr="00BA69C4">
        <w:rPr>
          <w:sz w:val="24"/>
        </w:rPr>
        <w:t>2012</w:t>
      </w:r>
      <w:r w:rsidRPr="00BA69C4">
        <w:rPr>
          <w:rFonts w:hAnsi="宋体" w:hint="eastAsia"/>
          <w:sz w:val="24"/>
        </w:rPr>
        <w:t>年再次对此标准进行了修订，有必要及时对</w:t>
      </w:r>
      <w:r w:rsidRPr="00BA69C4">
        <w:rPr>
          <w:sz w:val="24"/>
        </w:rPr>
        <w:t>GB/T 8297</w:t>
      </w:r>
      <w:r w:rsidRPr="00BA69C4">
        <w:rPr>
          <w:rFonts w:hAnsi="宋体" w:hint="eastAsia"/>
          <w:sz w:val="24"/>
        </w:rPr>
        <w:t>《浓缩天然胶乳</w:t>
      </w:r>
      <w:r w:rsidRPr="00BA69C4">
        <w:rPr>
          <w:sz w:val="24"/>
        </w:rPr>
        <w:t xml:space="preserve"> </w:t>
      </w:r>
      <w:r w:rsidRPr="00BA69C4">
        <w:rPr>
          <w:rFonts w:hAnsi="宋体" w:hint="eastAsia"/>
          <w:sz w:val="24"/>
        </w:rPr>
        <w:t>氢氧化钾</w:t>
      </w:r>
      <w:r w:rsidRPr="00BA69C4">
        <w:rPr>
          <w:sz w:val="24"/>
        </w:rPr>
        <w:t>(KOH)</w:t>
      </w:r>
      <w:r w:rsidRPr="00BA69C4">
        <w:rPr>
          <w:rFonts w:hAnsi="宋体" w:hint="eastAsia"/>
          <w:sz w:val="24"/>
        </w:rPr>
        <w:t>值的测定》进行修订，以便使</w:t>
      </w:r>
      <w:r w:rsidRPr="00BA69C4">
        <w:rPr>
          <w:sz w:val="24"/>
        </w:rPr>
        <w:t>GB/T 8297</w:t>
      </w:r>
      <w:r w:rsidRPr="00BA69C4">
        <w:rPr>
          <w:rFonts w:hAnsi="宋体" w:hint="eastAsia"/>
          <w:sz w:val="24"/>
        </w:rPr>
        <w:t>与</w:t>
      </w:r>
      <w:r w:rsidRPr="00BA69C4">
        <w:rPr>
          <w:sz w:val="24"/>
        </w:rPr>
        <w:t xml:space="preserve">ISO 127 </w:t>
      </w:r>
      <w:r w:rsidRPr="00BA69C4">
        <w:rPr>
          <w:rFonts w:hAnsi="宋体" w:hint="eastAsia"/>
          <w:sz w:val="24"/>
        </w:rPr>
        <w:t>保持一致。实际上，在此以前对</w:t>
      </w:r>
      <w:r w:rsidRPr="00BA69C4">
        <w:rPr>
          <w:sz w:val="24"/>
        </w:rPr>
        <w:t>GB/T 8297</w:t>
      </w:r>
      <w:r w:rsidRPr="00BA69C4">
        <w:rPr>
          <w:rFonts w:hAnsi="宋体" w:hint="eastAsia"/>
          <w:sz w:val="24"/>
        </w:rPr>
        <w:t>的修订都是等同采用</w:t>
      </w:r>
      <w:r w:rsidRPr="00BA69C4">
        <w:rPr>
          <w:sz w:val="24"/>
        </w:rPr>
        <w:t>ISO 127</w:t>
      </w:r>
      <w:r w:rsidRPr="00BA69C4">
        <w:rPr>
          <w:rFonts w:hAnsi="宋体" w:hint="eastAsia"/>
          <w:sz w:val="24"/>
        </w:rPr>
        <w:t>相应版本。这不仅使国标</w:t>
      </w:r>
      <w:r w:rsidRPr="00BA69C4">
        <w:rPr>
          <w:sz w:val="24"/>
        </w:rPr>
        <w:t>GB/T 8297</w:t>
      </w:r>
      <w:r w:rsidRPr="00BA69C4">
        <w:rPr>
          <w:rFonts w:hAnsi="宋体" w:hint="eastAsia"/>
          <w:sz w:val="24"/>
        </w:rPr>
        <w:t>的技术内容更加规范，也</w:t>
      </w:r>
      <w:r w:rsidR="002C051A">
        <w:rPr>
          <w:rFonts w:hAnsi="宋体" w:hint="eastAsia"/>
          <w:sz w:val="24"/>
        </w:rPr>
        <w:t>为</w:t>
      </w:r>
      <w:r w:rsidRPr="00BA69C4">
        <w:rPr>
          <w:rFonts w:hAnsi="宋体" w:hint="eastAsia"/>
          <w:sz w:val="24"/>
        </w:rPr>
        <w:t>我国天然胶乳生产和国际贸易</w:t>
      </w:r>
      <w:r w:rsidR="002C051A">
        <w:rPr>
          <w:rFonts w:hAnsi="宋体" w:hint="eastAsia"/>
          <w:sz w:val="24"/>
        </w:rPr>
        <w:t>与国际接轨提供了技术</w:t>
      </w:r>
      <w:r w:rsidR="002C051A" w:rsidRPr="00BA69C4">
        <w:rPr>
          <w:rFonts w:hAnsi="宋体" w:hint="eastAsia"/>
          <w:sz w:val="24"/>
        </w:rPr>
        <w:t>保障</w:t>
      </w:r>
      <w:r w:rsidRPr="00BA69C4">
        <w:rPr>
          <w:rFonts w:hAnsi="宋体" w:hint="eastAsia"/>
          <w:sz w:val="24"/>
        </w:rPr>
        <w:t>。有鉴于此，</w:t>
      </w:r>
      <w:r w:rsidRPr="00BA69C4">
        <w:rPr>
          <w:sz w:val="24"/>
        </w:rPr>
        <w:t>GB/T 8297</w:t>
      </w:r>
      <w:r w:rsidRPr="00BA69C4">
        <w:rPr>
          <w:rFonts w:hAnsi="宋体" w:hint="eastAsia"/>
          <w:sz w:val="24"/>
        </w:rPr>
        <w:t>修订工作组经过反复调研和讨论，确定本次对</w:t>
      </w:r>
      <w:r w:rsidRPr="00BA69C4">
        <w:rPr>
          <w:sz w:val="24"/>
        </w:rPr>
        <w:t>GB/T 8297-2008</w:t>
      </w:r>
      <w:r w:rsidRPr="00BA69C4">
        <w:rPr>
          <w:rFonts w:hAnsi="宋体" w:hint="eastAsia"/>
          <w:sz w:val="24"/>
        </w:rPr>
        <w:t>《浓缩天然胶乳</w:t>
      </w:r>
      <w:r w:rsidRPr="00BA69C4">
        <w:rPr>
          <w:sz w:val="24"/>
        </w:rPr>
        <w:t xml:space="preserve"> </w:t>
      </w:r>
      <w:r w:rsidRPr="00BA69C4">
        <w:rPr>
          <w:rFonts w:hAnsi="宋体" w:hint="eastAsia"/>
          <w:sz w:val="24"/>
        </w:rPr>
        <w:t>氢氧化钾</w:t>
      </w:r>
      <w:r w:rsidRPr="00BA69C4">
        <w:rPr>
          <w:sz w:val="24"/>
        </w:rPr>
        <w:t>(KOH)</w:t>
      </w:r>
      <w:r w:rsidRPr="00BA69C4">
        <w:rPr>
          <w:rFonts w:hAnsi="宋体" w:hint="eastAsia"/>
          <w:sz w:val="24"/>
        </w:rPr>
        <w:t>值的测定》进行修订依然等同采用国际标准</w:t>
      </w:r>
      <w:r w:rsidRPr="00BA69C4">
        <w:rPr>
          <w:sz w:val="24"/>
        </w:rPr>
        <w:t>ISO 127</w:t>
      </w:r>
      <w:r w:rsidRPr="00BA69C4">
        <w:rPr>
          <w:rFonts w:hAnsi="宋体" w:hint="eastAsia"/>
          <w:sz w:val="24"/>
        </w:rPr>
        <w:t>：</w:t>
      </w:r>
      <w:r w:rsidRPr="00BA69C4">
        <w:rPr>
          <w:sz w:val="24"/>
        </w:rPr>
        <w:t>2012</w:t>
      </w:r>
      <w:r w:rsidRPr="00BA69C4">
        <w:rPr>
          <w:rFonts w:hAnsi="宋体" w:hint="eastAsia"/>
          <w:sz w:val="24"/>
        </w:rPr>
        <w:t>。</w:t>
      </w:r>
    </w:p>
    <w:p w:rsidR="00582652" w:rsidRPr="003100AA" w:rsidRDefault="00BA69C4">
      <w:pPr>
        <w:spacing w:line="360" w:lineRule="auto"/>
        <w:ind w:firstLineChars="200" w:firstLine="480"/>
        <w:rPr>
          <w:sz w:val="24"/>
        </w:rPr>
      </w:pPr>
      <w:r w:rsidRPr="00BA69C4">
        <w:rPr>
          <w:sz w:val="24"/>
        </w:rPr>
        <w:t>ISO 127</w:t>
      </w:r>
      <w:r w:rsidRPr="00BA69C4">
        <w:rPr>
          <w:rFonts w:hAnsi="宋体" w:hint="eastAsia"/>
          <w:sz w:val="24"/>
        </w:rPr>
        <w:t>：</w:t>
      </w:r>
      <w:r w:rsidRPr="00BA69C4">
        <w:rPr>
          <w:sz w:val="24"/>
        </w:rPr>
        <w:t>2012</w:t>
      </w:r>
      <w:r w:rsidRPr="00BA69C4">
        <w:rPr>
          <w:rFonts w:hAnsi="宋体" w:hint="eastAsia"/>
          <w:sz w:val="24"/>
        </w:rPr>
        <w:t>与前一版本相比，主要针对以下几方面的技术内容进行了修订。（</w:t>
      </w:r>
      <w:r w:rsidRPr="00BA69C4">
        <w:rPr>
          <w:sz w:val="24"/>
        </w:rPr>
        <w:t>1</w:t>
      </w:r>
      <w:r w:rsidRPr="00BA69C4">
        <w:rPr>
          <w:rFonts w:hAnsi="宋体" w:hint="eastAsia"/>
          <w:sz w:val="24"/>
        </w:rPr>
        <w:t>）更新了规范性引用文件；（</w:t>
      </w:r>
      <w:r w:rsidRPr="00BA69C4">
        <w:rPr>
          <w:sz w:val="24"/>
        </w:rPr>
        <w:t>2</w:t>
      </w:r>
      <w:r w:rsidRPr="00BA69C4">
        <w:rPr>
          <w:rFonts w:hAnsi="宋体" w:hint="eastAsia"/>
          <w:sz w:val="24"/>
        </w:rPr>
        <w:t>）对结果的表示有所修改</w:t>
      </w:r>
      <w:r w:rsidRPr="00BA69C4">
        <w:rPr>
          <w:rFonts w:hAnsi="宋体" w:hint="eastAsia"/>
          <w:color w:val="000000"/>
          <w:sz w:val="24"/>
        </w:rPr>
        <w:t>；（</w:t>
      </w:r>
      <w:r w:rsidRPr="00BA69C4">
        <w:rPr>
          <w:color w:val="000000"/>
          <w:sz w:val="24"/>
        </w:rPr>
        <w:t>3</w:t>
      </w:r>
      <w:r w:rsidRPr="00BA69C4">
        <w:rPr>
          <w:rFonts w:hAnsi="宋体" w:hint="eastAsia"/>
          <w:color w:val="000000"/>
          <w:sz w:val="24"/>
        </w:rPr>
        <w:t>）</w:t>
      </w:r>
      <w:r w:rsidRPr="00BA69C4">
        <w:rPr>
          <w:rFonts w:hAnsi="宋体" w:hint="eastAsia"/>
          <w:sz w:val="24"/>
        </w:rPr>
        <w:t>将精密度修改单</w:t>
      </w:r>
      <w:r w:rsidRPr="00BA69C4">
        <w:rPr>
          <w:sz w:val="24"/>
        </w:rPr>
        <w:t>ISO 127:1995/Amd.1:2006</w:t>
      </w:r>
      <w:r w:rsidRPr="00BA69C4">
        <w:rPr>
          <w:rFonts w:hAnsi="宋体" w:hint="eastAsia"/>
          <w:sz w:val="24"/>
        </w:rPr>
        <w:t>中的精密度数据作为资料性附录</w:t>
      </w:r>
      <w:r w:rsidRPr="00BA69C4">
        <w:rPr>
          <w:sz w:val="24"/>
        </w:rPr>
        <w:t>C</w:t>
      </w:r>
      <w:r w:rsidRPr="00BA69C4">
        <w:rPr>
          <w:rFonts w:hAnsi="宋体" w:hint="eastAsia"/>
          <w:sz w:val="24"/>
        </w:rPr>
        <w:t>。这次修订使浓缩天然胶乳氢氧化钾值的测定标准更加规范、可靠，有利于天然胶乳初加工企业控制胶乳质量，保持浓缩天然胶乳的品质一致，更为胶乳制品企业提供了更可靠的工艺数据。</w:t>
      </w:r>
    </w:p>
    <w:p w:rsidR="00044A1C" w:rsidRPr="003100AA" w:rsidRDefault="00BA69C4" w:rsidP="00E775BC">
      <w:pPr>
        <w:spacing w:line="360" w:lineRule="auto"/>
        <w:rPr>
          <w:rFonts w:eastAsia="黑体"/>
          <w:bCs/>
          <w:sz w:val="24"/>
        </w:rPr>
      </w:pPr>
      <w:bookmarkStart w:id="0" w:name="1"/>
      <w:bookmarkEnd w:id="0"/>
      <w:r w:rsidRPr="00BA69C4">
        <w:rPr>
          <w:rFonts w:eastAsia="黑体"/>
          <w:bCs/>
          <w:sz w:val="24"/>
        </w:rPr>
        <w:t xml:space="preserve">1.3 </w:t>
      </w:r>
      <w:r w:rsidRPr="00BA69C4">
        <w:rPr>
          <w:rFonts w:eastAsia="黑体" w:hAnsi="黑体" w:hint="eastAsia"/>
          <w:bCs/>
          <w:sz w:val="24"/>
        </w:rPr>
        <w:t>主要工作过程</w:t>
      </w:r>
    </w:p>
    <w:p w:rsidR="00044A1C" w:rsidRPr="003100AA" w:rsidRDefault="00BA69C4" w:rsidP="00E775BC">
      <w:pPr>
        <w:spacing w:line="360" w:lineRule="auto"/>
        <w:ind w:firstLineChars="200" w:firstLine="480"/>
        <w:rPr>
          <w:sz w:val="24"/>
        </w:rPr>
      </w:pPr>
      <w:r>
        <w:rPr>
          <w:sz w:val="24"/>
        </w:rPr>
        <w:t>2014</w:t>
      </w:r>
      <w:r w:rsidRPr="00BA69C4">
        <w:rPr>
          <w:sz w:val="24"/>
        </w:rPr>
        <w:t>年</w:t>
      </w:r>
      <w:r>
        <w:rPr>
          <w:sz w:val="24"/>
        </w:rPr>
        <w:t>12</w:t>
      </w:r>
      <w:r w:rsidRPr="00BA69C4">
        <w:rPr>
          <w:sz w:val="24"/>
        </w:rPr>
        <w:t>月，在国家标准修订项目计划下达后，成立了标准修订小组，拟定工作大纲，进行任务分工。</w:t>
      </w:r>
    </w:p>
    <w:p w:rsidR="00E65F8C" w:rsidRDefault="00BA69C4" w:rsidP="00E65F8C">
      <w:pPr>
        <w:tabs>
          <w:tab w:val="left" w:pos="6120"/>
        </w:tabs>
        <w:spacing w:line="360" w:lineRule="auto"/>
        <w:rPr>
          <w:noProof/>
          <w:sz w:val="24"/>
        </w:rPr>
      </w:pPr>
      <w:r>
        <w:rPr>
          <w:sz w:val="24"/>
        </w:rPr>
        <w:t xml:space="preserve">    2015</w:t>
      </w:r>
      <w:r w:rsidRPr="00BA69C4">
        <w:rPr>
          <w:rFonts w:hint="eastAsia"/>
          <w:sz w:val="24"/>
        </w:rPr>
        <w:t>年</w:t>
      </w:r>
      <w:r>
        <w:rPr>
          <w:sz w:val="24"/>
        </w:rPr>
        <w:t>5</w:t>
      </w:r>
      <w:r w:rsidRPr="00BA69C4">
        <w:rPr>
          <w:rFonts w:hint="eastAsia"/>
          <w:sz w:val="24"/>
        </w:rPr>
        <w:t>月</w:t>
      </w:r>
      <w:r>
        <w:rPr>
          <w:sz w:val="24"/>
        </w:rPr>
        <w:t>-7</w:t>
      </w:r>
      <w:r w:rsidRPr="00BA69C4">
        <w:rPr>
          <w:rFonts w:hint="eastAsia"/>
          <w:sz w:val="24"/>
        </w:rPr>
        <w:t>月，为了做好采用国际标准</w:t>
      </w:r>
      <w:r>
        <w:rPr>
          <w:sz w:val="24"/>
        </w:rPr>
        <w:t>ISO 127</w:t>
      </w:r>
      <w:r>
        <w:rPr>
          <w:rFonts w:hint="eastAsia"/>
          <w:sz w:val="24"/>
        </w:rPr>
        <w:t>：</w:t>
      </w:r>
      <w:r>
        <w:rPr>
          <w:sz w:val="24"/>
        </w:rPr>
        <w:t>2012</w:t>
      </w:r>
      <w:r w:rsidRPr="00BA69C4">
        <w:rPr>
          <w:rFonts w:hint="eastAsia"/>
          <w:sz w:val="24"/>
        </w:rPr>
        <w:t>修订国家标准</w:t>
      </w:r>
      <w:r>
        <w:rPr>
          <w:noProof/>
          <w:sz w:val="24"/>
        </w:rPr>
        <w:t>GB/T 8297-2008</w:t>
      </w:r>
      <w:r w:rsidRPr="00BA69C4">
        <w:rPr>
          <w:rFonts w:hint="eastAsia"/>
          <w:noProof/>
          <w:sz w:val="24"/>
        </w:rPr>
        <w:t>的工作，向全国橡胶与橡胶制品标准化技术委员会天然橡胶分技术委员会委员单位和相关单位，开展了</w:t>
      </w:r>
      <w:r>
        <w:rPr>
          <w:noProof/>
          <w:sz w:val="24"/>
        </w:rPr>
        <w:t>GB/T 8297-2008</w:t>
      </w:r>
      <w:r w:rsidRPr="00BA69C4">
        <w:rPr>
          <w:rFonts w:hint="eastAsia"/>
          <w:noProof/>
          <w:sz w:val="24"/>
        </w:rPr>
        <w:t>的使用情况的调查</w:t>
      </w:r>
      <w:r w:rsidR="00E65F8C">
        <w:rPr>
          <w:rFonts w:hint="eastAsia"/>
          <w:noProof/>
          <w:sz w:val="24"/>
        </w:rPr>
        <w:t>。</w:t>
      </w:r>
      <w:r w:rsidR="006324D5">
        <w:rPr>
          <w:rFonts w:hint="eastAsia"/>
          <w:noProof/>
          <w:sz w:val="24"/>
        </w:rPr>
        <w:t>调查结果表明，</w:t>
      </w:r>
      <w:r w:rsidR="00E65F8C">
        <w:rPr>
          <w:rFonts w:hint="eastAsia"/>
          <w:noProof/>
          <w:sz w:val="24"/>
        </w:rPr>
        <w:t>除了原农垦系统的相关企业外，国内大部分企业不太重视</w:t>
      </w:r>
      <w:r w:rsidR="006324D5">
        <w:rPr>
          <w:rFonts w:hint="eastAsia"/>
          <w:noProof/>
          <w:sz w:val="24"/>
        </w:rPr>
        <w:t>浓缩</w:t>
      </w:r>
      <w:r w:rsidR="00E65F8C">
        <w:rPr>
          <w:rFonts w:hint="eastAsia"/>
          <w:noProof/>
          <w:sz w:val="24"/>
        </w:rPr>
        <w:t>天然胶乳氢氧化钾值的控制。少数民营企业甚至根本不了解</w:t>
      </w:r>
      <w:r w:rsidR="006324D5">
        <w:rPr>
          <w:rFonts w:hint="eastAsia"/>
          <w:noProof/>
          <w:sz w:val="24"/>
        </w:rPr>
        <w:t>浓缩天然胶乳</w:t>
      </w:r>
      <w:r w:rsidR="00E65F8C">
        <w:rPr>
          <w:rFonts w:hint="eastAsia"/>
          <w:noProof/>
          <w:sz w:val="24"/>
        </w:rPr>
        <w:t>氢氧化钾值的测定。</w:t>
      </w:r>
    </w:p>
    <w:p w:rsidR="003C0BCA" w:rsidRPr="003100AA" w:rsidRDefault="00E65F8C" w:rsidP="003C0BCA">
      <w:pPr>
        <w:tabs>
          <w:tab w:val="left" w:pos="6120"/>
        </w:tabs>
        <w:spacing w:line="360" w:lineRule="auto"/>
        <w:rPr>
          <w:sz w:val="24"/>
        </w:rPr>
      </w:pPr>
      <w:r>
        <w:rPr>
          <w:rFonts w:hint="eastAsia"/>
          <w:noProof/>
          <w:sz w:val="24"/>
        </w:rPr>
        <w:t xml:space="preserve">    </w:t>
      </w:r>
      <w:r w:rsidR="006324D5" w:rsidRPr="00BA69C4">
        <w:rPr>
          <w:noProof/>
          <w:color w:val="000000" w:themeColor="text1"/>
          <w:sz w:val="24"/>
        </w:rPr>
        <w:t>2015</w:t>
      </w:r>
      <w:r w:rsidR="006324D5" w:rsidRPr="00BA69C4">
        <w:rPr>
          <w:rFonts w:hint="eastAsia"/>
          <w:noProof/>
          <w:color w:val="000000" w:themeColor="text1"/>
          <w:sz w:val="24"/>
        </w:rPr>
        <w:t>年</w:t>
      </w:r>
      <w:r w:rsidR="006324D5">
        <w:rPr>
          <w:rFonts w:hint="eastAsia"/>
          <w:noProof/>
          <w:color w:val="000000" w:themeColor="text1"/>
          <w:sz w:val="24"/>
        </w:rPr>
        <w:t>8</w:t>
      </w:r>
      <w:r w:rsidR="00BA69C4" w:rsidRPr="00BA69C4">
        <w:rPr>
          <w:rFonts w:hint="eastAsia"/>
          <w:noProof/>
          <w:color w:val="000000" w:themeColor="text1"/>
          <w:sz w:val="24"/>
        </w:rPr>
        <w:t>月，</w:t>
      </w:r>
      <w:r>
        <w:rPr>
          <w:rFonts w:hint="eastAsia"/>
          <w:noProof/>
          <w:color w:val="000000" w:themeColor="text1"/>
          <w:sz w:val="24"/>
        </w:rPr>
        <w:t>标准修订小组</w:t>
      </w:r>
      <w:r w:rsidR="006324D5">
        <w:rPr>
          <w:rFonts w:hint="eastAsia"/>
          <w:noProof/>
          <w:color w:val="000000" w:themeColor="text1"/>
          <w:sz w:val="24"/>
        </w:rPr>
        <w:t>根据调研情况</w:t>
      </w:r>
      <w:r>
        <w:rPr>
          <w:rFonts w:hint="eastAsia"/>
          <w:noProof/>
          <w:color w:val="000000" w:themeColor="text1"/>
          <w:sz w:val="24"/>
        </w:rPr>
        <w:t>制定了工作方案。尽管</w:t>
      </w:r>
      <w:r w:rsidRPr="005870FC">
        <w:rPr>
          <w:noProof/>
          <w:color w:val="000000" w:themeColor="text1"/>
          <w:sz w:val="24"/>
        </w:rPr>
        <w:t xml:space="preserve">ISO </w:t>
      </w:r>
      <w:r w:rsidRPr="005870FC">
        <w:rPr>
          <w:noProof/>
          <w:sz w:val="24"/>
        </w:rPr>
        <w:t>127</w:t>
      </w:r>
      <w:r w:rsidRPr="005870FC">
        <w:rPr>
          <w:noProof/>
          <w:sz w:val="24"/>
        </w:rPr>
        <w:t>：</w:t>
      </w:r>
      <w:r w:rsidRPr="005870FC">
        <w:rPr>
          <w:noProof/>
          <w:sz w:val="24"/>
        </w:rPr>
        <w:t>2012</w:t>
      </w:r>
      <w:r>
        <w:rPr>
          <w:rFonts w:hint="eastAsia"/>
          <w:noProof/>
          <w:sz w:val="24"/>
        </w:rPr>
        <w:t>和</w:t>
      </w:r>
      <w:r>
        <w:rPr>
          <w:rFonts w:hint="eastAsia"/>
          <w:noProof/>
          <w:sz w:val="24"/>
        </w:rPr>
        <w:lastRenderedPageBreak/>
        <w:t>前一版本相比，</w:t>
      </w:r>
      <w:r w:rsidR="00B1267F">
        <w:rPr>
          <w:rFonts w:hint="eastAsia"/>
          <w:noProof/>
          <w:sz w:val="24"/>
        </w:rPr>
        <w:t>几乎没有对</w:t>
      </w:r>
      <w:r>
        <w:rPr>
          <w:rFonts w:hint="eastAsia"/>
          <w:noProof/>
          <w:sz w:val="24"/>
        </w:rPr>
        <w:t>技术内容</w:t>
      </w:r>
      <w:r w:rsidR="00B1267F">
        <w:rPr>
          <w:rFonts w:hint="eastAsia"/>
          <w:noProof/>
          <w:sz w:val="24"/>
        </w:rPr>
        <w:t>进行较大幅度的</w:t>
      </w:r>
      <w:r>
        <w:rPr>
          <w:rFonts w:hint="eastAsia"/>
          <w:noProof/>
          <w:sz w:val="24"/>
        </w:rPr>
        <w:t>修订，主要是</w:t>
      </w:r>
      <w:r w:rsidR="00B1267F">
        <w:rPr>
          <w:rFonts w:hint="eastAsia"/>
          <w:noProof/>
          <w:sz w:val="24"/>
        </w:rPr>
        <w:t>对测定结果</w:t>
      </w:r>
      <w:r>
        <w:rPr>
          <w:rFonts w:hint="eastAsia"/>
          <w:noProof/>
          <w:sz w:val="24"/>
        </w:rPr>
        <w:t>精密度的编排格式进行了调整，</w:t>
      </w:r>
      <w:r w:rsidR="00B1267F">
        <w:rPr>
          <w:rFonts w:hint="eastAsia"/>
          <w:noProof/>
          <w:sz w:val="24"/>
        </w:rPr>
        <w:t>但是，</w:t>
      </w:r>
      <w:r>
        <w:rPr>
          <w:rFonts w:hint="eastAsia"/>
          <w:noProof/>
          <w:sz w:val="24"/>
        </w:rPr>
        <w:t>考虑到国内很多企业对本标准缺乏足够了解，本次修订仍然邀请一些天然橡胶初加工企业和检测机构进行了</w:t>
      </w:r>
      <w:r w:rsidR="00B1267F">
        <w:rPr>
          <w:rFonts w:hint="eastAsia"/>
          <w:noProof/>
          <w:sz w:val="24"/>
        </w:rPr>
        <w:t>浓缩天然胶乳氢氧化钾值测定结果</w:t>
      </w:r>
      <w:r>
        <w:rPr>
          <w:rFonts w:hint="eastAsia"/>
          <w:noProof/>
          <w:sz w:val="24"/>
        </w:rPr>
        <w:t>精密度对比试验。</w:t>
      </w:r>
      <w:r w:rsidR="00B1267F">
        <w:rPr>
          <w:rFonts w:hint="eastAsia"/>
          <w:sz w:val="24"/>
        </w:rPr>
        <w:t>共有</w:t>
      </w:r>
      <w:r w:rsidR="00B1267F">
        <w:rPr>
          <w:rFonts w:hint="eastAsia"/>
          <w:sz w:val="24"/>
        </w:rPr>
        <w:t>3</w:t>
      </w:r>
      <w:r w:rsidR="00B1267F">
        <w:rPr>
          <w:rFonts w:hint="eastAsia"/>
          <w:sz w:val="24"/>
        </w:rPr>
        <w:t>家初加工企业和</w:t>
      </w:r>
      <w:r w:rsidR="004807D9">
        <w:rPr>
          <w:rFonts w:hint="eastAsia"/>
          <w:sz w:val="24"/>
        </w:rPr>
        <w:t>2</w:t>
      </w:r>
      <w:r w:rsidR="00B1267F">
        <w:rPr>
          <w:rFonts w:hint="eastAsia"/>
          <w:sz w:val="24"/>
        </w:rPr>
        <w:t>家</w:t>
      </w:r>
      <w:r w:rsidR="00E471A9">
        <w:rPr>
          <w:rFonts w:hint="eastAsia"/>
          <w:sz w:val="24"/>
        </w:rPr>
        <w:t>有资质的专业</w:t>
      </w:r>
      <w:r w:rsidR="00B1267F">
        <w:rPr>
          <w:rFonts w:hint="eastAsia"/>
          <w:sz w:val="24"/>
        </w:rPr>
        <w:t>检测机构参与了本标准精密度验证试验。不同单位测定的浓缩天然胶乳氢氧化钾值及其精密度如表</w:t>
      </w:r>
      <w:r w:rsidR="00B1267F">
        <w:rPr>
          <w:rFonts w:hint="eastAsia"/>
          <w:sz w:val="24"/>
        </w:rPr>
        <w:t>1</w:t>
      </w:r>
      <w:r w:rsidR="00A07A15">
        <w:rPr>
          <w:rFonts w:hint="eastAsia"/>
          <w:sz w:val="24"/>
        </w:rPr>
        <w:t>和表</w:t>
      </w:r>
      <w:r w:rsidR="00A07A15">
        <w:rPr>
          <w:rFonts w:hint="eastAsia"/>
          <w:sz w:val="24"/>
        </w:rPr>
        <w:t>2</w:t>
      </w:r>
      <w:r w:rsidR="00B1267F">
        <w:rPr>
          <w:rFonts w:hint="eastAsia"/>
          <w:sz w:val="24"/>
        </w:rPr>
        <w:t>所示。</w:t>
      </w:r>
      <w:r w:rsidR="00BA69C4" w:rsidRPr="00BA69C4">
        <w:rPr>
          <w:rFonts w:hint="eastAsia"/>
          <w:sz w:val="24"/>
        </w:rPr>
        <w:t>由表</w:t>
      </w:r>
      <w:r w:rsidR="00BA69C4" w:rsidRPr="00BA69C4">
        <w:rPr>
          <w:sz w:val="24"/>
        </w:rPr>
        <w:t>1</w:t>
      </w:r>
      <w:r w:rsidR="00BA69C4" w:rsidRPr="00BA69C4">
        <w:rPr>
          <w:rFonts w:hint="eastAsia"/>
          <w:sz w:val="24"/>
        </w:rPr>
        <w:t>可知，测定结果的重复性和再现性都达到了标准中的要求。在上述工作的基础上，经过综合分析，确定了本标准修订后的征求意见稿。</w:t>
      </w:r>
    </w:p>
    <w:p w:rsidR="002B2502" w:rsidRPr="003100AA" w:rsidRDefault="002B2502" w:rsidP="00333D3D">
      <w:pPr>
        <w:rPr>
          <w:sz w:val="24"/>
        </w:rPr>
      </w:pPr>
    </w:p>
    <w:tbl>
      <w:tblPr>
        <w:tblStyle w:val="a5"/>
        <w:tblW w:w="5000" w:type="pct"/>
        <w:jc w:val="center"/>
        <w:tblLook w:val="04A0"/>
      </w:tblPr>
      <w:tblGrid>
        <w:gridCol w:w="1071"/>
        <w:gridCol w:w="1071"/>
        <w:gridCol w:w="1072"/>
        <w:gridCol w:w="1072"/>
        <w:gridCol w:w="1075"/>
        <w:gridCol w:w="1579"/>
        <w:gridCol w:w="1274"/>
        <w:gridCol w:w="1072"/>
      </w:tblGrid>
      <w:tr w:rsidR="00745FAA" w:rsidRPr="003100AA" w:rsidTr="00C4469B">
        <w:trPr>
          <w:trHeight w:val="274"/>
          <w:jc w:val="center"/>
        </w:trPr>
        <w:tc>
          <w:tcPr>
            <w:tcW w:w="2887" w:type="pct"/>
            <w:gridSpan w:val="5"/>
          </w:tcPr>
          <w:p w:rsidR="00745FAA" w:rsidRDefault="00DE2F75" w:rsidP="00BA69C4">
            <w:pPr>
              <w:tabs>
                <w:tab w:val="left" w:pos="6120"/>
              </w:tabs>
              <w:spacing w:line="360" w:lineRule="auto"/>
              <w:jc w:val="center"/>
              <w:rPr>
                <w:sz w:val="24"/>
              </w:rPr>
            </w:pPr>
            <w:r w:rsidRPr="00DE2F75">
              <w:rPr>
                <w:rFonts w:hint="eastAsia"/>
                <w:sz w:val="24"/>
              </w:rPr>
              <w:t>表</w:t>
            </w:r>
            <w:r w:rsidRPr="00DE2F75">
              <w:rPr>
                <w:sz w:val="24"/>
              </w:rPr>
              <w:t xml:space="preserve">1 </w:t>
            </w:r>
            <w:r w:rsidRPr="00DE2F75">
              <w:rPr>
                <w:rFonts w:hint="eastAsia"/>
                <w:sz w:val="24"/>
              </w:rPr>
              <w:t>实验室间精密度验证试验结果</w:t>
            </w:r>
            <w:r w:rsidR="00745FAA">
              <w:rPr>
                <w:rFonts w:hint="eastAsia"/>
                <w:sz w:val="24"/>
              </w:rPr>
              <w:t>实验室</w:t>
            </w:r>
          </w:p>
        </w:tc>
        <w:tc>
          <w:tcPr>
            <w:tcW w:w="850" w:type="pct"/>
            <w:vMerge w:val="restart"/>
          </w:tcPr>
          <w:p w:rsidR="00745FAA" w:rsidRDefault="00745FAA" w:rsidP="00BA69C4">
            <w:pPr>
              <w:tabs>
                <w:tab w:val="left" w:pos="6120"/>
              </w:tabs>
              <w:spacing w:line="360" w:lineRule="auto"/>
              <w:jc w:val="center"/>
              <w:rPr>
                <w:sz w:val="24"/>
              </w:rPr>
            </w:pPr>
            <w:r>
              <w:rPr>
                <w:rFonts w:hint="eastAsia"/>
                <w:sz w:val="24"/>
              </w:rPr>
              <w:t>平均值</w:t>
            </w:r>
          </w:p>
        </w:tc>
        <w:tc>
          <w:tcPr>
            <w:tcW w:w="1264" w:type="pct"/>
            <w:gridSpan w:val="2"/>
          </w:tcPr>
          <w:p w:rsidR="00745FAA" w:rsidRDefault="00745FAA" w:rsidP="00BA69C4">
            <w:pPr>
              <w:tabs>
                <w:tab w:val="left" w:pos="6120"/>
              </w:tabs>
              <w:spacing w:line="360" w:lineRule="auto"/>
              <w:jc w:val="center"/>
              <w:rPr>
                <w:sz w:val="24"/>
              </w:rPr>
            </w:pPr>
            <w:r>
              <w:rPr>
                <w:rFonts w:hint="eastAsia"/>
                <w:sz w:val="24"/>
              </w:rPr>
              <w:t>实验室间</w:t>
            </w:r>
          </w:p>
        </w:tc>
      </w:tr>
      <w:tr w:rsidR="00745FAA" w:rsidRPr="003100AA" w:rsidTr="00C4469B">
        <w:trPr>
          <w:trHeight w:val="274"/>
          <w:jc w:val="center"/>
        </w:trPr>
        <w:tc>
          <w:tcPr>
            <w:tcW w:w="577" w:type="pct"/>
          </w:tcPr>
          <w:p w:rsidR="00745FAA" w:rsidRDefault="00745FAA" w:rsidP="00BA69C4">
            <w:pPr>
              <w:tabs>
                <w:tab w:val="left" w:pos="6120"/>
              </w:tabs>
              <w:spacing w:line="360" w:lineRule="auto"/>
              <w:jc w:val="center"/>
              <w:rPr>
                <w:sz w:val="24"/>
              </w:rPr>
            </w:pPr>
            <w:r>
              <w:rPr>
                <w:sz w:val="24"/>
              </w:rPr>
              <w:t>A</w:t>
            </w:r>
          </w:p>
        </w:tc>
        <w:tc>
          <w:tcPr>
            <w:tcW w:w="577" w:type="pct"/>
          </w:tcPr>
          <w:p w:rsidR="00745FAA" w:rsidRDefault="00745FAA" w:rsidP="00BA69C4">
            <w:pPr>
              <w:tabs>
                <w:tab w:val="left" w:pos="6120"/>
              </w:tabs>
              <w:spacing w:line="360" w:lineRule="auto"/>
              <w:jc w:val="center"/>
              <w:rPr>
                <w:sz w:val="24"/>
              </w:rPr>
            </w:pPr>
            <w:r>
              <w:rPr>
                <w:sz w:val="24"/>
              </w:rPr>
              <w:t>B</w:t>
            </w:r>
          </w:p>
        </w:tc>
        <w:tc>
          <w:tcPr>
            <w:tcW w:w="577" w:type="pct"/>
          </w:tcPr>
          <w:p w:rsidR="00745FAA" w:rsidRDefault="00745FAA" w:rsidP="00BA69C4">
            <w:pPr>
              <w:tabs>
                <w:tab w:val="left" w:pos="6120"/>
              </w:tabs>
              <w:spacing w:line="360" w:lineRule="auto"/>
              <w:jc w:val="center"/>
              <w:rPr>
                <w:sz w:val="24"/>
              </w:rPr>
            </w:pPr>
            <w:r>
              <w:rPr>
                <w:sz w:val="24"/>
              </w:rPr>
              <w:t>C</w:t>
            </w:r>
          </w:p>
        </w:tc>
        <w:tc>
          <w:tcPr>
            <w:tcW w:w="577" w:type="pct"/>
          </w:tcPr>
          <w:p w:rsidR="00745FAA" w:rsidRDefault="00745FAA" w:rsidP="00BA69C4">
            <w:pPr>
              <w:tabs>
                <w:tab w:val="left" w:pos="6120"/>
              </w:tabs>
              <w:spacing w:line="360" w:lineRule="auto"/>
              <w:jc w:val="center"/>
              <w:rPr>
                <w:sz w:val="24"/>
              </w:rPr>
            </w:pPr>
            <w:r>
              <w:rPr>
                <w:sz w:val="24"/>
              </w:rPr>
              <w:t>D</w:t>
            </w:r>
          </w:p>
        </w:tc>
        <w:tc>
          <w:tcPr>
            <w:tcW w:w="577" w:type="pct"/>
          </w:tcPr>
          <w:p w:rsidR="00745FAA" w:rsidRDefault="00745FAA" w:rsidP="00BA69C4">
            <w:pPr>
              <w:tabs>
                <w:tab w:val="left" w:pos="6120"/>
              </w:tabs>
              <w:spacing w:line="360" w:lineRule="auto"/>
              <w:jc w:val="center"/>
              <w:rPr>
                <w:sz w:val="24"/>
              </w:rPr>
            </w:pPr>
            <w:r>
              <w:rPr>
                <w:sz w:val="24"/>
              </w:rPr>
              <w:t>E</w:t>
            </w:r>
          </w:p>
        </w:tc>
        <w:tc>
          <w:tcPr>
            <w:tcW w:w="850" w:type="pct"/>
            <w:vMerge/>
          </w:tcPr>
          <w:p w:rsidR="00745FAA" w:rsidRDefault="00745FAA" w:rsidP="00BA69C4">
            <w:pPr>
              <w:tabs>
                <w:tab w:val="left" w:pos="6120"/>
              </w:tabs>
              <w:spacing w:line="360" w:lineRule="auto"/>
              <w:jc w:val="center"/>
              <w:rPr>
                <w:sz w:val="24"/>
              </w:rPr>
            </w:pPr>
          </w:p>
        </w:tc>
        <w:tc>
          <w:tcPr>
            <w:tcW w:w="686" w:type="pct"/>
          </w:tcPr>
          <w:p w:rsidR="00745FAA" w:rsidRDefault="00745FAA" w:rsidP="00BA69C4">
            <w:pPr>
              <w:tabs>
                <w:tab w:val="left" w:pos="6120"/>
              </w:tabs>
              <w:spacing w:line="360" w:lineRule="auto"/>
              <w:jc w:val="center"/>
              <w:rPr>
                <w:sz w:val="24"/>
              </w:rPr>
            </w:pPr>
            <w:r>
              <w:rPr>
                <w:sz w:val="24"/>
              </w:rPr>
              <w:t>s</w:t>
            </w:r>
            <w:r w:rsidRPr="00BA69C4">
              <w:rPr>
                <w:sz w:val="24"/>
                <w:vertAlign w:val="subscript"/>
              </w:rPr>
              <w:t>R</w:t>
            </w:r>
          </w:p>
        </w:tc>
        <w:tc>
          <w:tcPr>
            <w:tcW w:w="577" w:type="pct"/>
          </w:tcPr>
          <w:p w:rsidR="00745FAA" w:rsidRDefault="00745FAA" w:rsidP="00BA69C4">
            <w:pPr>
              <w:tabs>
                <w:tab w:val="left" w:pos="6120"/>
              </w:tabs>
              <w:spacing w:line="360" w:lineRule="auto"/>
              <w:jc w:val="center"/>
              <w:rPr>
                <w:sz w:val="24"/>
              </w:rPr>
            </w:pPr>
            <w:r>
              <w:rPr>
                <w:sz w:val="24"/>
              </w:rPr>
              <w:t>R</w:t>
            </w:r>
          </w:p>
        </w:tc>
      </w:tr>
      <w:tr w:rsidR="00745FAA" w:rsidRPr="003100AA" w:rsidTr="00C4469B">
        <w:trPr>
          <w:jc w:val="center"/>
        </w:trPr>
        <w:tc>
          <w:tcPr>
            <w:tcW w:w="577" w:type="pct"/>
          </w:tcPr>
          <w:p w:rsidR="00745FAA" w:rsidRDefault="00745FAA" w:rsidP="00BA69C4">
            <w:pPr>
              <w:tabs>
                <w:tab w:val="left" w:pos="6120"/>
              </w:tabs>
              <w:spacing w:line="360" w:lineRule="auto"/>
              <w:jc w:val="center"/>
              <w:rPr>
                <w:sz w:val="24"/>
              </w:rPr>
            </w:pPr>
            <w:r>
              <w:rPr>
                <w:sz w:val="24"/>
              </w:rPr>
              <w:t>0.45</w:t>
            </w:r>
          </w:p>
        </w:tc>
        <w:tc>
          <w:tcPr>
            <w:tcW w:w="577" w:type="pct"/>
          </w:tcPr>
          <w:p w:rsidR="00745FAA" w:rsidRDefault="00745FAA" w:rsidP="00BA69C4">
            <w:pPr>
              <w:tabs>
                <w:tab w:val="left" w:pos="6120"/>
              </w:tabs>
              <w:spacing w:line="360" w:lineRule="auto"/>
              <w:jc w:val="center"/>
              <w:rPr>
                <w:sz w:val="24"/>
              </w:rPr>
            </w:pPr>
            <w:r>
              <w:rPr>
                <w:sz w:val="24"/>
              </w:rPr>
              <w:t>0.43</w:t>
            </w:r>
          </w:p>
        </w:tc>
        <w:tc>
          <w:tcPr>
            <w:tcW w:w="577" w:type="pct"/>
          </w:tcPr>
          <w:p w:rsidR="00745FAA" w:rsidRDefault="00745FAA" w:rsidP="00BA69C4">
            <w:pPr>
              <w:tabs>
                <w:tab w:val="left" w:pos="6120"/>
              </w:tabs>
              <w:spacing w:line="360" w:lineRule="auto"/>
              <w:jc w:val="center"/>
              <w:rPr>
                <w:sz w:val="24"/>
              </w:rPr>
            </w:pPr>
            <w:r>
              <w:rPr>
                <w:sz w:val="24"/>
              </w:rPr>
              <w:t>0.50</w:t>
            </w:r>
          </w:p>
        </w:tc>
        <w:tc>
          <w:tcPr>
            <w:tcW w:w="577" w:type="pct"/>
          </w:tcPr>
          <w:p w:rsidR="00745FAA" w:rsidRDefault="00745FAA" w:rsidP="00BA69C4">
            <w:pPr>
              <w:tabs>
                <w:tab w:val="left" w:pos="6120"/>
              </w:tabs>
              <w:spacing w:line="360" w:lineRule="auto"/>
              <w:jc w:val="center"/>
              <w:rPr>
                <w:sz w:val="24"/>
              </w:rPr>
            </w:pPr>
            <w:r>
              <w:rPr>
                <w:sz w:val="24"/>
              </w:rPr>
              <w:t>0.49</w:t>
            </w:r>
          </w:p>
        </w:tc>
        <w:tc>
          <w:tcPr>
            <w:tcW w:w="577" w:type="pct"/>
          </w:tcPr>
          <w:p w:rsidR="00745FAA" w:rsidRDefault="00745FAA" w:rsidP="00BA69C4">
            <w:pPr>
              <w:tabs>
                <w:tab w:val="left" w:pos="6120"/>
              </w:tabs>
              <w:spacing w:line="360" w:lineRule="auto"/>
              <w:jc w:val="center"/>
              <w:rPr>
                <w:sz w:val="24"/>
              </w:rPr>
            </w:pPr>
            <w:r>
              <w:rPr>
                <w:sz w:val="24"/>
              </w:rPr>
              <w:t>0.46</w:t>
            </w:r>
          </w:p>
        </w:tc>
        <w:tc>
          <w:tcPr>
            <w:tcW w:w="850" w:type="pct"/>
          </w:tcPr>
          <w:p w:rsidR="00745FAA" w:rsidRDefault="00745FAA" w:rsidP="00BA69C4">
            <w:pPr>
              <w:tabs>
                <w:tab w:val="left" w:pos="6120"/>
              </w:tabs>
              <w:spacing w:line="360" w:lineRule="auto"/>
              <w:jc w:val="center"/>
              <w:rPr>
                <w:sz w:val="24"/>
              </w:rPr>
            </w:pPr>
            <w:r>
              <w:rPr>
                <w:sz w:val="24"/>
              </w:rPr>
              <w:t>0.47</w:t>
            </w:r>
          </w:p>
        </w:tc>
        <w:tc>
          <w:tcPr>
            <w:tcW w:w="686" w:type="pct"/>
          </w:tcPr>
          <w:p w:rsidR="00745FAA" w:rsidRDefault="00745FAA" w:rsidP="00BA69C4">
            <w:pPr>
              <w:tabs>
                <w:tab w:val="left" w:pos="6120"/>
              </w:tabs>
              <w:spacing w:line="360" w:lineRule="auto"/>
              <w:jc w:val="center"/>
              <w:rPr>
                <w:sz w:val="24"/>
              </w:rPr>
            </w:pPr>
            <w:r>
              <w:rPr>
                <w:sz w:val="24"/>
              </w:rPr>
              <w:t>0.026</w:t>
            </w:r>
          </w:p>
        </w:tc>
        <w:tc>
          <w:tcPr>
            <w:tcW w:w="577" w:type="pct"/>
          </w:tcPr>
          <w:p w:rsidR="00745FAA" w:rsidRDefault="00745FAA" w:rsidP="00BA69C4">
            <w:pPr>
              <w:tabs>
                <w:tab w:val="left" w:pos="6120"/>
              </w:tabs>
              <w:spacing w:line="360" w:lineRule="auto"/>
              <w:jc w:val="center"/>
              <w:rPr>
                <w:sz w:val="24"/>
              </w:rPr>
            </w:pPr>
            <w:r>
              <w:rPr>
                <w:sz w:val="24"/>
              </w:rPr>
              <w:t>0.07</w:t>
            </w:r>
          </w:p>
        </w:tc>
      </w:tr>
    </w:tbl>
    <w:p w:rsidR="00DE2F75" w:rsidRDefault="00BB7302" w:rsidP="0065244D">
      <w:pPr>
        <w:tabs>
          <w:tab w:val="left" w:pos="6120"/>
        </w:tabs>
        <w:spacing w:beforeLines="100" w:line="360" w:lineRule="auto"/>
        <w:jc w:val="center"/>
        <w:rPr>
          <w:sz w:val="24"/>
        </w:rPr>
      </w:pPr>
      <w:r>
        <w:rPr>
          <w:rFonts w:hint="eastAsia"/>
          <w:sz w:val="24"/>
        </w:rPr>
        <w:t>表</w:t>
      </w:r>
      <w:r>
        <w:rPr>
          <w:sz w:val="24"/>
        </w:rPr>
        <w:t xml:space="preserve">2 </w:t>
      </w:r>
      <w:r>
        <w:rPr>
          <w:rFonts w:hint="eastAsia"/>
          <w:sz w:val="24"/>
        </w:rPr>
        <w:t>实验室内精密度验证试验结果</w:t>
      </w:r>
    </w:p>
    <w:tbl>
      <w:tblPr>
        <w:tblStyle w:val="a5"/>
        <w:tblW w:w="5000" w:type="pct"/>
        <w:tblLook w:val="04A0"/>
      </w:tblPr>
      <w:tblGrid>
        <w:gridCol w:w="1892"/>
        <w:gridCol w:w="1527"/>
        <w:gridCol w:w="1528"/>
        <w:gridCol w:w="1527"/>
        <w:gridCol w:w="1527"/>
        <w:gridCol w:w="1285"/>
      </w:tblGrid>
      <w:tr w:rsidR="00A559CA" w:rsidTr="00A559CA">
        <w:trPr>
          <w:trHeight w:val="137"/>
        </w:trPr>
        <w:tc>
          <w:tcPr>
            <w:tcW w:w="1019" w:type="pct"/>
            <w:vMerge w:val="restart"/>
          </w:tcPr>
          <w:p w:rsidR="00A559CA" w:rsidRDefault="00A559CA">
            <w:pPr>
              <w:tabs>
                <w:tab w:val="left" w:pos="6120"/>
              </w:tabs>
              <w:spacing w:line="360" w:lineRule="auto"/>
              <w:rPr>
                <w:sz w:val="24"/>
              </w:rPr>
            </w:pPr>
            <w:r>
              <w:rPr>
                <w:rFonts w:hint="eastAsia"/>
                <w:sz w:val="24"/>
              </w:rPr>
              <w:t>实验室</w:t>
            </w:r>
          </w:p>
        </w:tc>
        <w:tc>
          <w:tcPr>
            <w:tcW w:w="2467" w:type="pct"/>
            <w:gridSpan w:val="3"/>
          </w:tcPr>
          <w:p w:rsidR="00A559CA" w:rsidRDefault="00A559CA">
            <w:pPr>
              <w:tabs>
                <w:tab w:val="left" w:pos="6120"/>
              </w:tabs>
              <w:spacing w:line="360" w:lineRule="auto"/>
              <w:rPr>
                <w:sz w:val="24"/>
              </w:rPr>
            </w:pPr>
            <w:r>
              <w:rPr>
                <w:rFonts w:hint="eastAsia"/>
                <w:sz w:val="24"/>
              </w:rPr>
              <w:t>测定结果</w:t>
            </w:r>
          </w:p>
        </w:tc>
        <w:tc>
          <w:tcPr>
            <w:tcW w:w="1514" w:type="pct"/>
            <w:gridSpan w:val="2"/>
          </w:tcPr>
          <w:p w:rsidR="00A559CA" w:rsidRDefault="00A559CA">
            <w:pPr>
              <w:tabs>
                <w:tab w:val="left" w:pos="6120"/>
              </w:tabs>
              <w:spacing w:line="360" w:lineRule="auto"/>
              <w:rPr>
                <w:sz w:val="24"/>
              </w:rPr>
            </w:pPr>
            <w:r>
              <w:rPr>
                <w:rFonts w:hint="eastAsia"/>
                <w:sz w:val="24"/>
              </w:rPr>
              <w:t>实验室内</w:t>
            </w:r>
          </w:p>
        </w:tc>
      </w:tr>
      <w:tr w:rsidR="00A559CA" w:rsidTr="00A559CA">
        <w:trPr>
          <w:trHeight w:val="137"/>
        </w:trPr>
        <w:tc>
          <w:tcPr>
            <w:tcW w:w="1019" w:type="pct"/>
            <w:vMerge/>
          </w:tcPr>
          <w:p w:rsidR="00A559CA" w:rsidRDefault="00A559CA">
            <w:pPr>
              <w:tabs>
                <w:tab w:val="left" w:pos="6120"/>
              </w:tabs>
              <w:spacing w:line="360" w:lineRule="auto"/>
              <w:rPr>
                <w:sz w:val="24"/>
              </w:rPr>
            </w:pPr>
          </w:p>
        </w:tc>
        <w:tc>
          <w:tcPr>
            <w:tcW w:w="822" w:type="pct"/>
          </w:tcPr>
          <w:p w:rsidR="00A559CA" w:rsidRDefault="00A559CA">
            <w:pPr>
              <w:tabs>
                <w:tab w:val="left" w:pos="6120"/>
              </w:tabs>
              <w:spacing w:line="360" w:lineRule="auto"/>
              <w:rPr>
                <w:sz w:val="24"/>
              </w:rPr>
            </w:pPr>
            <w:r>
              <w:rPr>
                <w:rFonts w:hint="eastAsia"/>
                <w:sz w:val="24"/>
              </w:rPr>
              <w:t>1</w:t>
            </w:r>
          </w:p>
        </w:tc>
        <w:tc>
          <w:tcPr>
            <w:tcW w:w="823" w:type="pct"/>
          </w:tcPr>
          <w:p w:rsidR="00A559CA" w:rsidRDefault="00A559CA">
            <w:pPr>
              <w:tabs>
                <w:tab w:val="left" w:pos="6120"/>
              </w:tabs>
              <w:spacing w:line="360" w:lineRule="auto"/>
              <w:rPr>
                <w:sz w:val="24"/>
              </w:rPr>
            </w:pPr>
            <w:r>
              <w:rPr>
                <w:rFonts w:hint="eastAsia"/>
                <w:sz w:val="24"/>
              </w:rPr>
              <w:t>2</w:t>
            </w:r>
          </w:p>
        </w:tc>
        <w:tc>
          <w:tcPr>
            <w:tcW w:w="822" w:type="pct"/>
          </w:tcPr>
          <w:p w:rsidR="00A559CA" w:rsidRDefault="00A559CA">
            <w:pPr>
              <w:tabs>
                <w:tab w:val="left" w:pos="6120"/>
              </w:tabs>
              <w:spacing w:line="360" w:lineRule="auto"/>
              <w:rPr>
                <w:sz w:val="24"/>
              </w:rPr>
            </w:pPr>
            <w:r>
              <w:rPr>
                <w:rFonts w:hint="eastAsia"/>
                <w:sz w:val="24"/>
              </w:rPr>
              <w:t>3</w:t>
            </w:r>
          </w:p>
        </w:tc>
        <w:tc>
          <w:tcPr>
            <w:tcW w:w="822" w:type="pct"/>
          </w:tcPr>
          <w:p w:rsidR="00A559CA" w:rsidRDefault="00A559CA">
            <w:pPr>
              <w:tabs>
                <w:tab w:val="left" w:pos="6120"/>
              </w:tabs>
              <w:spacing w:line="360" w:lineRule="auto"/>
              <w:rPr>
                <w:sz w:val="24"/>
              </w:rPr>
            </w:pPr>
            <w:r>
              <w:rPr>
                <w:sz w:val="24"/>
              </w:rPr>
              <w:t>s</w:t>
            </w:r>
            <w:r w:rsidRPr="00BA69C4">
              <w:rPr>
                <w:sz w:val="24"/>
                <w:vertAlign w:val="subscript"/>
              </w:rPr>
              <w:t>r</w:t>
            </w:r>
          </w:p>
        </w:tc>
        <w:tc>
          <w:tcPr>
            <w:tcW w:w="692" w:type="pct"/>
          </w:tcPr>
          <w:p w:rsidR="00A559CA" w:rsidRDefault="00A559CA">
            <w:pPr>
              <w:tabs>
                <w:tab w:val="left" w:pos="6120"/>
              </w:tabs>
              <w:spacing w:line="360" w:lineRule="auto"/>
              <w:rPr>
                <w:sz w:val="24"/>
              </w:rPr>
            </w:pPr>
            <w:r>
              <w:rPr>
                <w:sz w:val="24"/>
              </w:rPr>
              <w:t>r</w:t>
            </w:r>
          </w:p>
        </w:tc>
      </w:tr>
      <w:tr w:rsidR="00A559CA" w:rsidTr="00A559CA">
        <w:tc>
          <w:tcPr>
            <w:tcW w:w="1019" w:type="pct"/>
          </w:tcPr>
          <w:p w:rsidR="00A559CA" w:rsidRDefault="00A559CA">
            <w:pPr>
              <w:tabs>
                <w:tab w:val="left" w:pos="6120"/>
              </w:tabs>
              <w:spacing w:line="360" w:lineRule="auto"/>
              <w:rPr>
                <w:sz w:val="24"/>
              </w:rPr>
            </w:pPr>
            <w:r>
              <w:rPr>
                <w:rFonts w:hint="eastAsia"/>
                <w:sz w:val="24"/>
              </w:rPr>
              <w:t>D</w:t>
            </w:r>
          </w:p>
        </w:tc>
        <w:tc>
          <w:tcPr>
            <w:tcW w:w="822" w:type="pct"/>
          </w:tcPr>
          <w:p w:rsidR="00A559CA" w:rsidRDefault="00A559CA">
            <w:pPr>
              <w:tabs>
                <w:tab w:val="left" w:pos="6120"/>
              </w:tabs>
              <w:spacing w:line="360" w:lineRule="auto"/>
              <w:rPr>
                <w:sz w:val="24"/>
              </w:rPr>
            </w:pPr>
            <w:r>
              <w:rPr>
                <w:rFonts w:hint="eastAsia"/>
                <w:sz w:val="24"/>
              </w:rPr>
              <w:t>0.49</w:t>
            </w:r>
          </w:p>
        </w:tc>
        <w:tc>
          <w:tcPr>
            <w:tcW w:w="823" w:type="pct"/>
          </w:tcPr>
          <w:p w:rsidR="0017428A" w:rsidRDefault="00A559CA">
            <w:pPr>
              <w:tabs>
                <w:tab w:val="left" w:pos="6120"/>
              </w:tabs>
              <w:spacing w:line="360" w:lineRule="auto"/>
              <w:rPr>
                <w:sz w:val="24"/>
              </w:rPr>
            </w:pPr>
            <w:r>
              <w:rPr>
                <w:rFonts w:hint="eastAsia"/>
                <w:sz w:val="24"/>
              </w:rPr>
              <w:t>0.50</w:t>
            </w:r>
          </w:p>
        </w:tc>
        <w:tc>
          <w:tcPr>
            <w:tcW w:w="822" w:type="pct"/>
          </w:tcPr>
          <w:p w:rsidR="00A559CA" w:rsidRDefault="00A559CA">
            <w:pPr>
              <w:tabs>
                <w:tab w:val="left" w:pos="6120"/>
              </w:tabs>
              <w:spacing w:line="360" w:lineRule="auto"/>
              <w:rPr>
                <w:sz w:val="24"/>
              </w:rPr>
            </w:pPr>
            <w:r>
              <w:rPr>
                <w:rFonts w:hint="eastAsia"/>
                <w:sz w:val="24"/>
              </w:rPr>
              <w:t>0.49</w:t>
            </w:r>
          </w:p>
        </w:tc>
        <w:tc>
          <w:tcPr>
            <w:tcW w:w="822" w:type="pct"/>
          </w:tcPr>
          <w:p w:rsidR="00A559CA" w:rsidRDefault="00A559CA">
            <w:pPr>
              <w:tabs>
                <w:tab w:val="left" w:pos="6120"/>
              </w:tabs>
              <w:spacing w:line="360" w:lineRule="auto"/>
              <w:rPr>
                <w:sz w:val="24"/>
              </w:rPr>
            </w:pPr>
            <w:r>
              <w:rPr>
                <w:rFonts w:hint="eastAsia"/>
                <w:sz w:val="24"/>
              </w:rPr>
              <w:t>0.005</w:t>
            </w:r>
          </w:p>
        </w:tc>
        <w:tc>
          <w:tcPr>
            <w:tcW w:w="692" w:type="pct"/>
          </w:tcPr>
          <w:p w:rsidR="00A559CA" w:rsidRDefault="00A559CA">
            <w:pPr>
              <w:tabs>
                <w:tab w:val="left" w:pos="6120"/>
              </w:tabs>
              <w:spacing w:line="360" w:lineRule="auto"/>
              <w:rPr>
                <w:sz w:val="24"/>
              </w:rPr>
            </w:pPr>
            <w:r>
              <w:rPr>
                <w:rFonts w:hint="eastAsia"/>
                <w:sz w:val="24"/>
              </w:rPr>
              <w:t>0.01</w:t>
            </w:r>
          </w:p>
        </w:tc>
      </w:tr>
      <w:tr w:rsidR="00A559CA" w:rsidTr="00A559CA">
        <w:tc>
          <w:tcPr>
            <w:tcW w:w="1019" w:type="pct"/>
          </w:tcPr>
          <w:p w:rsidR="00A559CA" w:rsidRDefault="00A559CA">
            <w:pPr>
              <w:tabs>
                <w:tab w:val="left" w:pos="6120"/>
              </w:tabs>
              <w:spacing w:line="360" w:lineRule="auto"/>
              <w:rPr>
                <w:sz w:val="24"/>
              </w:rPr>
            </w:pPr>
            <w:r>
              <w:rPr>
                <w:rFonts w:hint="eastAsia"/>
                <w:sz w:val="24"/>
              </w:rPr>
              <w:t>E</w:t>
            </w:r>
          </w:p>
        </w:tc>
        <w:tc>
          <w:tcPr>
            <w:tcW w:w="822" w:type="pct"/>
          </w:tcPr>
          <w:p w:rsidR="0017428A" w:rsidRDefault="00A559CA">
            <w:pPr>
              <w:tabs>
                <w:tab w:val="left" w:pos="6120"/>
              </w:tabs>
              <w:spacing w:line="360" w:lineRule="auto"/>
              <w:rPr>
                <w:sz w:val="24"/>
              </w:rPr>
            </w:pPr>
            <w:r>
              <w:rPr>
                <w:rFonts w:hint="eastAsia"/>
                <w:sz w:val="24"/>
              </w:rPr>
              <w:t>0.46</w:t>
            </w:r>
          </w:p>
        </w:tc>
        <w:tc>
          <w:tcPr>
            <w:tcW w:w="823" w:type="pct"/>
          </w:tcPr>
          <w:p w:rsidR="0017428A" w:rsidRDefault="00A559CA">
            <w:pPr>
              <w:tabs>
                <w:tab w:val="left" w:pos="6120"/>
              </w:tabs>
              <w:spacing w:line="360" w:lineRule="auto"/>
              <w:rPr>
                <w:sz w:val="24"/>
              </w:rPr>
            </w:pPr>
            <w:r>
              <w:rPr>
                <w:rFonts w:hint="eastAsia"/>
                <w:sz w:val="24"/>
              </w:rPr>
              <w:t>0.45</w:t>
            </w:r>
          </w:p>
        </w:tc>
        <w:tc>
          <w:tcPr>
            <w:tcW w:w="822" w:type="pct"/>
          </w:tcPr>
          <w:p w:rsidR="00A559CA" w:rsidRDefault="00A559CA">
            <w:pPr>
              <w:tabs>
                <w:tab w:val="left" w:pos="6120"/>
              </w:tabs>
              <w:spacing w:line="360" w:lineRule="auto"/>
              <w:rPr>
                <w:sz w:val="24"/>
              </w:rPr>
            </w:pPr>
            <w:r>
              <w:rPr>
                <w:rFonts w:hint="eastAsia"/>
                <w:sz w:val="24"/>
              </w:rPr>
              <w:t>0.46</w:t>
            </w:r>
          </w:p>
        </w:tc>
        <w:tc>
          <w:tcPr>
            <w:tcW w:w="822" w:type="pct"/>
          </w:tcPr>
          <w:p w:rsidR="00A559CA" w:rsidRDefault="00A559CA">
            <w:pPr>
              <w:tabs>
                <w:tab w:val="left" w:pos="6120"/>
              </w:tabs>
              <w:spacing w:line="360" w:lineRule="auto"/>
              <w:rPr>
                <w:sz w:val="24"/>
              </w:rPr>
            </w:pPr>
            <w:r>
              <w:rPr>
                <w:rFonts w:hint="eastAsia"/>
                <w:sz w:val="24"/>
              </w:rPr>
              <w:t>0.005</w:t>
            </w:r>
          </w:p>
        </w:tc>
        <w:tc>
          <w:tcPr>
            <w:tcW w:w="692" w:type="pct"/>
          </w:tcPr>
          <w:p w:rsidR="00A559CA" w:rsidRDefault="00A559CA">
            <w:pPr>
              <w:tabs>
                <w:tab w:val="left" w:pos="6120"/>
              </w:tabs>
              <w:spacing w:line="360" w:lineRule="auto"/>
              <w:rPr>
                <w:sz w:val="24"/>
              </w:rPr>
            </w:pPr>
            <w:r>
              <w:rPr>
                <w:rFonts w:hint="eastAsia"/>
                <w:sz w:val="24"/>
              </w:rPr>
              <w:t>0.01</w:t>
            </w:r>
          </w:p>
        </w:tc>
      </w:tr>
    </w:tbl>
    <w:p w:rsidR="00A07A15" w:rsidRPr="00A07A15" w:rsidRDefault="00A07A15">
      <w:pPr>
        <w:tabs>
          <w:tab w:val="left" w:pos="6120"/>
        </w:tabs>
        <w:spacing w:line="360" w:lineRule="auto"/>
        <w:rPr>
          <w:sz w:val="24"/>
        </w:rPr>
      </w:pPr>
    </w:p>
    <w:p w:rsidR="00386898" w:rsidRPr="003100AA" w:rsidRDefault="00BA69C4" w:rsidP="00E775BC">
      <w:pPr>
        <w:numPr>
          <w:ilvl w:val="0"/>
          <w:numId w:val="9"/>
        </w:numPr>
        <w:spacing w:line="360" w:lineRule="auto"/>
        <w:rPr>
          <w:rFonts w:eastAsia="黑体"/>
          <w:sz w:val="24"/>
        </w:rPr>
      </w:pPr>
      <w:r w:rsidRPr="00BA69C4">
        <w:rPr>
          <w:rFonts w:eastAsia="黑体" w:hAnsi="黑体" w:hint="eastAsia"/>
          <w:sz w:val="24"/>
        </w:rPr>
        <w:t>关于编写原则和技术内容确定依据的说明</w:t>
      </w:r>
    </w:p>
    <w:p w:rsidR="00386898" w:rsidRPr="003100AA" w:rsidRDefault="00BA69C4" w:rsidP="00E775BC">
      <w:pPr>
        <w:spacing w:line="360" w:lineRule="auto"/>
        <w:rPr>
          <w:rFonts w:eastAsia="黑体"/>
          <w:sz w:val="24"/>
        </w:rPr>
      </w:pPr>
      <w:r w:rsidRPr="00BA69C4">
        <w:rPr>
          <w:rFonts w:eastAsia="黑体"/>
          <w:sz w:val="24"/>
        </w:rPr>
        <w:t xml:space="preserve">2.1 </w:t>
      </w:r>
      <w:r w:rsidRPr="00BA69C4">
        <w:rPr>
          <w:rFonts w:eastAsia="黑体" w:hAnsi="黑体" w:hint="eastAsia"/>
          <w:sz w:val="24"/>
        </w:rPr>
        <w:t>标准编写原则</w:t>
      </w:r>
    </w:p>
    <w:p w:rsidR="00386898" w:rsidRPr="003100AA" w:rsidRDefault="00BA69C4" w:rsidP="00E775BC">
      <w:pPr>
        <w:spacing w:line="360"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BA69C4">
          <w:rPr>
            <w:rFonts w:eastAsia="黑体"/>
            <w:sz w:val="24"/>
          </w:rPr>
          <w:t>2.1.1</w:t>
        </w:r>
      </w:smartTag>
      <w:r w:rsidRPr="00BA69C4">
        <w:rPr>
          <w:rFonts w:eastAsia="黑体"/>
          <w:sz w:val="24"/>
        </w:rPr>
        <w:t xml:space="preserve"> </w:t>
      </w:r>
      <w:r w:rsidRPr="00BA69C4">
        <w:rPr>
          <w:rFonts w:hAnsi="宋体"/>
          <w:sz w:val="24"/>
        </w:rPr>
        <w:t>本标准按</w:t>
      </w:r>
      <w:r w:rsidRPr="00BA69C4">
        <w:rPr>
          <w:sz w:val="24"/>
        </w:rPr>
        <w:t>GB/T 1.1—2009</w:t>
      </w:r>
      <w:r w:rsidRPr="00BA69C4">
        <w:rPr>
          <w:rFonts w:hAnsi="宋体"/>
          <w:sz w:val="24"/>
        </w:rPr>
        <w:t>《标准化工作导则</w:t>
      </w:r>
      <w:r w:rsidRPr="00BA69C4">
        <w:rPr>
          <w:sz w:val="24"/>
        </w:rPr>
        <w:t xml:space="preserve"> </w:t>
      </w:r>
      <w:r w:rsidRPr="00BA69C4">
        <w:rPr>
          <w:rFonts w:hAnsi="宋体"/>
          <w:sz w:val="24"/>
        </w:rPr>
        <w:t>第１部分：标准的结构和编写规则》给出的规则编制，使标准在结构、语言表述和编排格式上符合统一的要求。</w:t>
      </w:r>
    </w:p>
    <w:p w:rsidR="00386898" w:rsidRPr="003100AA" w:rsidRDefault="00BA69C4" w:rsidP="00E775BC">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BA69C4">
          <w:rPr>
            <w:rFonts w:eastAsia="黑体"/>
            <w:sz w:val="24"/>
          </w:rPr>
          <w:t>2.1.2</w:t>
        </w:r>
      </w:smartTag>
      <w:r w:rsidRPr="00BA69C4">
        <w:rPr>
          <w:rFonts w:eastAsia="黑体"/>
          <w:sz w:val="24"/>
        </w:rPr>
        <w:t xml:space="preserve"> </w:t>
      </w:r>
      <w:r w:rsidRPr="00BA69C4">
        <w:rPr>
          <w:rFonts w:hAnsi="宋体"/>
          <w:sz w:val="24"/>
        </w:rPr>
        <w:t>根据</w:t>
      </w:r>
      <w:r w:rsidRPr="00BA69C4">
        <w:rPr>
          <w:rFonts w:hAnsi="宋体" w:hint="eastAsia"/>
          <w:sz w:val="24"/>
        </w:rPr>
        <w:t>浓缩天然胶乳检验方法</w:t>
      </w:r>
      <w:r w:rsidRPr="00BA69C4">
        <w:rPr>
          <w:rFonts w:hAnsi="宋体"/>
          <w:sz w:val="24"/>
        </w:rPr>
        <w:t>的技术要求以及当前技术水平，遵循科学性、合理性、经济性和可操作性的原则，对原标准的技术内容进行了修订。</w:t>
      </w:r>
    </w:p>
    <w:p w:rsidR="00386898" w:rsidRPr="003100AA" w:rsidRDefault="00BA69C4" w:rsidP="00E775BC">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BA69C4">
          <w:rPr>
            <w:rFonts w:eastAsia="黑体"/>
            <w:sz w:val="24"/>
          </w:rPr>
          <w:t>2.1.3</w:t>
        </w:r>
      </w:smartTag>
      <w:r w:rsidRPr="00BA69C4">
        <w:rPr>
          <w:rFonts w:eastAsia="黑体"/>
          <w:sz w:val="24"/>
        </w:rPr>
        <w:t xml:space="preserve"> </w:t>
      </w:r>
      <w:r w:rsidRPr="00BA69C4">
        <w:rPr>
          <w:rFonts w:hAnsi="宋体"/>
          <w:sz w:val="24"/>
        </w:rPr>
        <w:t>在标准的名称、技术要求结构和内容、用语等方面与天然橡胶系列标准</w:t>
      </w:r>
      <w:r w:rsidRPr="00BA69C4">
        <w:rPr>
          <w:rFonts w:hAnsi="宋体" w:hint="eastAsia"/>
          <w:sz w:val="24"/>
        </w:rPr>
        <w:t>及相关标准</w:t>
      </w:r>
      <w:r w:rsidRPr="00BA69C4">
        <w:rPr>
          <w:rFonts w:hAnsi="宋体"/>
          <w:sz w:val="24"/>
        </w:rPr>
        <w:t>保持一致。</w:t>
      </w:r>
    </w:p>
    <w:p w:rsidR="00386898" w:rsidRPr="003100AA" w:rsidRDefault="00BA69C4" w:rsidP="00E775BC">
      <w:pPr>
        <w:numPr>
          <w:ilvl w:val="1"/>
          <w:numId w:val="9"/>
        </w:numPr>
        <w:spacing w:line="360" w:lineRule="auto"/>
        <w:rPr>
          <w:rFonts w:eastAsia="黑体"/>
          <w:sz w:val="24"/>
        </w:rPr>
      </w:pPr>
      <w:r w:rsidRPr="00BA69C4">
        <w:rPr>
          <w:rFonts w:eastAsia="黑体" w:hAnsi="黑体" w:hint="eastAsia"/>
          <w:sz w:val="24"/>
        </w:rPr>
        <w:t>标准中主要修订技术内容的确定</w:t>
      </w:r>
    </w:p>
    <w:p w:rsidR="006C3374" w:rsidRPr="003100AA" w:rsidRDefault="00BA69C4" w:rsidP="003C0BCA">
      <w:pPr>
        <w:pStyle w:val="ac"/>
        <w:numPr>
          <w:ilvl w:val="2"/>
          <w:numId w:val="9"/>
        </w:numPr>
        <w:spacing w:line="360" w:lineRule="auto"/>
        <w:ind w:firstLineChars="0"/>
        <w:rPr>
          <w:rFonts w:eastAsia="黑体"/>
          <w:sz w:val="24"/>
        </w:rPr>
      </w:pPr>
      <w:r w:rsidRPr="00BA69C4">
        <w:rPr>
          <w:rFonts w:eastAsia="黑体" w:hAnsi="黑体" w:hint="eastAsia"/>
          <w:sz w:val="24"/>
        </w:rPr>
        <w:t>关于规范性引用文件和参考文献的说明</w:t>
      </w:r>
    </w:p>
    <w:p w:rsidR="00BA69C4" w:rsidRPr="00BA69C4" w:rsidRDefault="00BA69C4" w:rsidP="00BA69C4">
      <w:pPr>
        <w:spacing w:line="360" w:lineRule="auto"/>
        <w:ind w:firstLine="480"/>
        <w:rPr>
          <w:sz w:val="24"/>
        </w:rPr>
      </w:pPr>
      <w:r w:rsidRPr="00BA69C4">
        <w:rPr>
          <w:rFonts w:hAnsi="宋体" w:hint="eastAsia"/>
          <w:sz w:val="24"/>
        </w:rPr>
        <w:t>由于</w:t>
      </w:r>
      <w:r w:rsidRPr="00BA69C4">
        <w:rPr>
          <w:sz w:val="24"/>
        </w:rPr>
        <w:t>ISO/TR 9272</w:t>
      </w:r>
      <w:r w:rsidRPr="00BA69C4">
        <w:rPr>
          <w:rFonts w:hAnsi="宋体" w:hint="eastAsia"/>
          <w:sz w:val="24"/>
        </w:rPr>
        <w:t>的条款并没有在本标准中应用，因此，本次修订将第</w:t>
      </w:r>
      <w:r w:rsidRPr="00BA69C4">
        <w:rPr>
          <w:sz w:val="24"/>
        </w:rPr>
        <w:t>2</w:t>
      </w:r>
      <w:r w:rsidRPr="00BA69C4">
        <w:rPr>
          <w:rFonts w:hAnsi="宋体"/>
          <w:sz w:val="24"/>
        </w:rPr>
        <w:t>章规范性引用文件中的</w:t>
      </w:r>
      <w:r w:rsidRPr="00BA69C4">
        <w:rPr>
          <w:sz w:val="24"/>
        </w:rPr>
        <w:t>ISO/TR 9272</w:t>
      </w:r>
      <w:r w:rsidRPr="00BA69C4">
        <w:rPr>
          <w:rFonts w:hAnsi="宋体"/>
          <w:sz w:val="24"/>
        </w:rPr>
        <w:t>《橡胶与橡胶制品试验方法标准</w:t>
      </w:r>
      <w:r w:rsidRPr="00BA69C4">
        <w:rPr>
          <w:sz w:val="24"/>
        </w:rPr>
        <w:t xml:space="preserve"> </w:t>
      </w:r>
      <w:r w:rsidRPr="00BA69C4">
        <w:rPr>
          <w:rFonts w:hAnsi="宋体" w:hint="eastAsia"/>
          <w:sz w:val="24"/>
        </w:rPr>
        <w:t>精密度的确定》改为参考文</w:t>
      </w:r>
      <w:r w:rsidRPr="00BA69C4">
        <w:rPr>
          <w:rFonts w:hAnsi="宋体" w:hint="eastAsia"/>
          <w:sz w:val="24"/>
        </w:rPr>
        <w:lastRenderedPageBreak/>
        <w:t>献，即</w:t>
      </w:r>
      <w:r w:rsidRPr="00BA69C4">
        <w:rPr>
          <w:sz w:val="24"/>
        </w:rPr>
        <w:t>ISO/TR 9272 Rubber and rubber products — Determination of precision for test method standards</w:t>
      </w:r>
      <w:r w:rsidRPr="00BA69C4">
        <w:rPr>
          <w:rFonts w:hAnsi="宋体" w:hint="eastAsia"/>
          <w:sz w:val="24"/>
        </w:rPr>
        <w:t>。另外，为了准确理解本标准的内容，本次修订增加了</w:t>
      </w:r>
      <w:r w:rsidRPr="00BA69C4">
        <w:rPr>
          <w:sz w:val="24"/>
        </w:rPr>
        <w:t>ISO 1382</w:t>
      </w:r>
      <w:r w:rsidR="00E471A9">
        <w:rPr>
          <w:rFonts w:hint="eastAsia"/>
          <w:sz w:val="24"/>
        </w:rPr>
        <w:t>：</w:t>
      </w:r>
      <w:r w:rsidRPr="00BA69C4">
        <w:rPr>
          <w:sz w:val="24"/>
        </w:rPr>
        <w:t xml:space="preserve">2008, Rubber — </w:t>
      </w:r>
      <w:r w:rsidR="003100AA">
        <w:rPr>
          <w:rFonts w:hint="eastAsia"/>
          <w:sz w:val="24"/>
        </w:rPr>
        <w:t>Vocabulary</w:t>
      </w:r>
      <w:r w:rsidRPr="00BA69C4">
        <w:rPr>
          <w:rFonts w:hAnsi="宋体" w:hint="eastAsia"/>
          <w:sz w:val="24"/>
        </w:rPr>
        <w:t>为参考文献。</w:t>
      </w:r>
    </w:p>
    <w:p w:rsidR="001C5778" w:rsidRPr="003100AA" w:rsidRDefault="00BA69C4">
      <w:pPr>
        <w:pStyle w:val="ac"/>
        <w:numPr>
          <w:ilvl w:val="2"/>
          <w:numId w:val="9"/>
        </w:numPr>
        <w:spacing w:line="360" w:lineRule="auto"/>
        <w:ind w:firstLineChars="0"/>
        <w:rPr>
          <w:rFonts w:eastAsia="黑体"/>
          <w:sz w:val="24"/>
        </w:rPr>
      </w:pPr>
      <w:r w:rsidRPr="00BA69C4">
        <w:rPr>
          <w:rFonts w:eastAsia="黑体" w:hAnsi="黑体" w:hint="eastAsia"/>
          <w:sz w:val="24"/>
        </w:rPr>
        <w:t>对结果的表示的修改</w:t>
      </w:r>
    </w:p>
    <w:p w:rsidR="003C0BCA" w:rsidRPr="003100AA" w:rsidRDefault="0070301E" w:rsidP="003C0BCA">
      <w:pPr>
        <w:spacing w:line="360" w:lineRule="auto"/>
        <w:ind w:firstLine="480"/>
        <w:rPr>
          <w:sz w:val="24"/>
        </w:rPr>
      </w:pPr>
      <w:r>
        <w:rPr>
          <w:rFonts w:hAnsi="宋体" w:hint="eastAsia"/>
          <w:sz w:val="24"/>
        </w:rPr>
        <w:t>在</w:t>
      </w:r>
      <w:r w:rsidR="00BA69C4" w:rsidRPr="00BA69C4">
        <w:rPr>
          <w:sz w:val="24"/>
        </w:rPr>
        <w:t>GB/T 8297-2008</w:t>
      </w:r>
      <w:r>
        <w:rPr>
          <w:rFonts w:hint="eastAsia"/>
          <w:sz w:val="24"/>
        </w:rPr>
        <w:t>中，结果表示部分的计算公式中“氢氧化钾（</w:t>
      </w:r>
      <w:r>
        <w:rPr>
          <w:rFonts w:hint="eastAsia"/>
          <w:sz w:val="24"/>
        </w:rPr>
        <w:t>KOH</w:t>
      </w:r>
      <w:r>
        <w:rPr>
          <w:rFonts w:hint="eastAsia"/>
          <w:sz w:val="24"/>
        </w:rPr>
        <w:t>）值”采用中文表示，属于不规范表示。</w:t>
      </w:r>
      <w:r w:rsidR="00BA69C4" w:rsidRPr="00BA69C4">
        <w:rPr>
          <w:rFonts w:hAnsi="宋体" w:hint="eastAsia"/>
          <w:sz w:val="24"/>
        </w:rPr>
        <w:t>本次修订</w:t>
      </w:r>
      <w:r>
        <w:rPr>
          <w:rFonts w:hAnsi="宋体" w:hint="eastAsia"/>
          <w:sz w:val="24"/>
        </w:rPr>
        <w:t>等同采用</w:t>
      </w:r>
      <w:r>
        <w:rPr>
          <w:rFonts w:hAnsi="宋体" w:hint="eastAsia"/>
          <w:sz w:val="24"/>
        </w:rPr>
        <w:t>ISO127</w:t>
      </w:r>
      <w:r>
        <w:rPr>
          <w:rFonts w:hAnsi="宋体" w:hint="eastAsia"/>
          <w:sz w:val="24"/>
        </w:rPr>
        <w:t>：</w:t>
      </w:r>
      <w:r>
        <w:rPr>
          <w:rFonts w:hAnsi="宋体" w:hint="eastAsia"/>
          <w:sz w:val="24"/>
        </w:rPr>
        <w:t>2012</w:t>
      </w:r>
      <w:r>
        <w:rPr>
          <w:rFonts w:hAnsi="宋体" w:hint="eastAsia"/>
          <w:sz w:val="24"/>
        </w:rPr>
        <w:t>，</w:t>
      </w:r>
      <w:r w:rsidR="00BA69C4" w:rsidRPr="00BA69C4">
        <w:rPr>
          <w:rFonts w:hAnsi="宋体" w:hint="eastAsia"/>
          <w:sz w:val="24"/>
        </w:rPr>
        <w:t>将</w:t>
      </w:r>
      <w:r w:rsidR="00771C5C">
        <w:rPr>
          <w:rFonts w:hAnsi="宋体" w:hint="eastAsia"/>
          <w:sz w:val="24"/>
        </w:rPr>
        <w:t>计算公式</w:t>
      </w:r>
      <w:r w:rsidR="00BA69C4" w:rsidRPr="00BA69C4">
        <w:rPr>
          <w:rFonts w:hAnsi="宋体" w:hint="eastAsia"/>
          <w:sz w:val="24"/>
        </w:rPr>
        <w:t>中</w:t>
      </w:r>
      <w:r>
        <w:rPr>
          <w:rFonts w:hAnsi="宋体" w:hint="eastAsia"/>
          <w:sz w:val="24"/>
        </w:rPr>
        <w:t>（</w:t>
      </w:r>
      <w:r>
        <w:rPr>
          <w:rFonts w:hAnsi="宋体" w:hint="eastAsia"/>
          <w:sz w:val="24"/>
        </w:rPr>
        <w:t>2</w:t>
      </w:r>
      <w:r>
        <w:rPr>
          <w:rFonts w:hAnsi="宋体" w:hint="eastAsia"/>
          <w:sz w:val="24"/>
        </w:rPr>
        <w:t>）</w:t>
      </w:r>
      <w:r w:rsidR="00771C5C">
        <w:rPr>
          <w:rFonts w:hAnsi="宋体" w:hint="eastAsia"/>
          <w:sz w:val="24"/>
        </w:rPr>
        <w:t>的</w:t>
      </w:r>
      <w:r w:rsidR="00771C5C">
        <w:rPr>
          <w:rFonts w:hAnsi="宋体" w:hint="eastAsia"/>
          <w:sz w:val="24"/>
        </w:rPr>
        <w:t xml:space="preserve"> </w:t>
      </w:r>
      <w:r w:rsidR="00771C5C">
        <w:rPr>
          <w:rFonts w:hAnsi="宋体"/>
          <w:sz w:val="24"/>
        </w:rPr>
        <w:t>“</w:t>
      </w:r>
      <w:r w:rsidR="00771C5C" w:rsidRPr="00BA69C4">
        <w:rPr>
          <w:rFonts w:hAnsi="宋体" w:hint="eastAsia"/>
          <w:sz w:val="24"/>
        </w:rPr>
        <w:t>氢氧化钾（</w:t>
      </w:r>
      <w:r w:rsidR="00771C5C" w:rsidRPr="00BA69C4">
        <w:rPr>
          <w:sz w:val="24"/>
        </w:rPr>
        <w:t>KOH</w:t>
      </w:r>
      <w:r w:rsidR="00771C5C" w:rsidRPr="00BA69C4">
        <w:rPr>
          <w:rFonts w:hAnsi="宋体" w:hint="eastAsia"/>
          <w:sz w:val="24"/>
        </w:rPr>
        <w:t>）值</w:t>
      </w:r>
      <w:r w:rsidR="00771C5C">
        <w:rPr>
          <w:rFonts w:hAnsi="宋体"/>
          <w:sz w:val="24"/>
        </w:rPr>
        <w:t>”</w:t>
      </w:r>
      <w:r w:rsidR="00BA69C4" w:rsidRPr="00BA69C4">
        <w:rPr>
          <w:rFonts w:hAnsi="宋体" w:hint="eastAsia"/>
          <w:sz w:val="24"/>
        </w:rPr>
        <w:t>改</w:t>
      </w:r>
      <w:r w:rsidR="001F2A29" w:rsidRPr="00771C5C">
        <w:rPr>
          <w:rFonts w:hAnsi="宋体" w:hint="eastAsia"/>
          <w:sz w:val="24"/>
        </w:rPr>
        <w:t>为</w:t>
      </w:r>
      <w:r w:rsidR="004807D9">
        <w:rPr>
          <w:rFonts w:hAnsi="宋体" w:hint="eastAsia"/>
          <w:sz w:val="24"/>
        </w:rPr>
        <w:t xml:space="preserve"> </w:t>
      </w:r>
      <w:r w:rsidR="004807D9">
        <w:rPr>
          <w:rFonts w:hAnsi="宋体"/>
          <w:sz w:val="24"/>
        </w:rPr>
        <w:t>“</w:t>
      </w:r>
      <w:r w:rsidR="004807D9" w:rsidRPr="00771C5C">
        <w:rPr>
          <w:rFonts w:hint="eastAsia"/>
          <w:sz w:val="24"/>
        </w:rPr>
        <w:t>K</w:t>
      </w:r>
      <w:r w:rsidR="004807D9">
        <w:rPr>
          <w:rFonts w:hAnsi="宋体"/>
          <w:sz w:val="24"/>
        </w:rPr>
        <w:t>”</w:t>
      </w:r>
      <w:r w:rsidR="00771C5C" w:rsidRPr="00771C5C">
        <w:rPr>
          <w:rFonts w:hAnsi="宋体" w:hint="eastAsia"/>
          <w:sz w:val="24"/>
        </w:rPr>
        <w:t>；</w:t>
      </w:r>
      <w:r w:rsidR="001F2A29" w:rsidRPr="00771C5C">
        <w:rPr>
          <w:rFonts w:hAnsi="宋体" w:hint="eastAsia"/>
          <w:sz w:val="24"/>
        </w:rPr>
        <w:t>将含有硼酸的浓缩天然胶乳的氢氧化钾（</w:t>
      </w:r>
      <w:r w:rsidR="001F2A29" w:rsidRPr="00771C5C">
        <w:rPr>
          <w:sz w:val="24"/>
        </w:rPr>
        <w:t>KOH</w:t>
      </w:r>
      <w:r w:rsidR="001F2A29" w:rsidRPr="00771C5C">
        <w:rPr>
          <w:rFonts w:hAnsi="宋体" w:hint="eastAsia"/>
          <w:sz w:val="24"/>
        </w:rPr>
        <w:t>）值</w:t>
      </w:r>
      <w:r w:rsidR="00771C5C" w:rsidRPr="00771C5C">
        <w:rPr>
          <w:rFonts w:hAnsi="宋体" w:hint="eastAsia"/>
          <w:sz w:val="24"/>
        </w:rPr>
        <w:t>计算公式</w:t>
      </w:r>
      <w:r>
        <w:rPr>
          <w:rFonts w:hAnsi="宋体" w:hint="eastAsia"/>
          <w:sz w:val="24"/>
        </w:rPr>
        <w:t>（</w:t>
      </w:r>
      <w:r>
        <w:rPr>
          <w:rFonts w:hAnsi="宋体" w:hint="eastAsia"/>
          <w:sz w:val="24"/>
        </w:rPr>
        <w:t>3</w:t>
      </w:r>
      <w:r>
        <w:rPr>
          <w:rFonts w:hAnsi="宋体" w:hint="eastAsia"/>
          <w:sz w:val="24"/>
        </w:rPr>
        <w:t>）</w:t>
      </w:r>
      <w:r w:rsidR="00771C5C" w:rsidRPr="00771C5C">
        <w:rPr>
          <w:rFonts w:hAnsi="宋体" w:hint="eastAsia"/>
          <w:sz w:val="24"/>
        </w:rPr>
        <w:t>中的“氢氧化钾（</w:t>
      </w:r>
      <w:r w:rsidR="00771C5C" w:rsidRPr="00771C5C">
        <w:rPr>
          <w:sz w:val="24"/>
        </w:rPr>
        <w:t>KOH</w:t>
      </w:r>
      <w:r w:rsidR="00771C5C" w:rsidRPr="00771C5C">
        <w:rPr>
          <w:rFonts w:hAnsi="宋体" w:hint="eastAsia"/>
          <w:sz w:val="24"/>
        </w:rPr>
        <w:t>）值”改为</w:t>
      </w:r>
      <w:r w:rsidR="00771C5C" w:rsidRPr="00771C5C">
        <w:rPr>
          <w:rFonts w:hint="eastAsia"/>
          <w:sz w:val="24"/>
        </w:rPr>
        <w:t>“</w:t>
      </w:r>
      <w:r w:rsidR="00771C5C" w:rsidRPr="00771C5C">
        <w:rPr>
          <w:rFonts w:hint="eastAsia"/>
          <w:sz w:val="24"/>
        </w:rPr>
        <w:t>K</w:t>
      </w:r>
      <w:r w:rsidR="00771C5C" w:rsidRPr="00771C5C">
        <w:rPr>
          <w:sz w:val="24"/>
          <w:vertAlign w:val="subscript"/>
        </w:rPr>
        <w:t>BA</w:t>
      </w:r>
      <w:r w:rsidR="00771C5C" w:rsidRPr="00771C5C">
        <w:rPr>
          <w:rFonts w:hint="eastAsia"/>
          <w:sz w:val="24"/>
        </w:rPr>
        <w:t>”</w:t>
      </w:r>
      <w:r w:rsidR="00BA69C4" w:rsidRPr="00BA69C4">
        <w:rPr>
          <w:rFonts w:hAnsi="宋体" w:hint="eastAsia"/>
          <w:sz w:val="24"/>
        </w:rPr>
        <w:t>，修改后氢氧化钾（</w:t>
      </w:r>
      <w:r w:rsidR="00BA69C4" w:rsidRPr="00BA69C4">
        <w:rPr>
          <w:sz w:val="24"/>
        </w:rPr>
        <w:t>KOH</w:t>
      </w:r>
      <w:r w:rsidR="00BA69C4" w:rsidRPr="00BA69C4">
        <w:rPr>
          <w:rFonts w:hAnsi="宋体" w:hint="eastAsia"/>
          <w:sz w:val="24"/>
        </w:rPr>
        <w:t>）值的表示更加简单、直观。</w:t>
      </w:r>
    </w:p>
    <w:p w:rsidR="00143B67" w:rsidRPr="003100AA" w:rsidRDefault="00BA69C4" w:rsidP="00E775BC">
      <w:pPr>
        <w:spacing w:line="360" w:lineRule="auto"/>
        <w:rPr>
          <w:rFonts w:eastAsia="黑体"/>
          <w:sz w:val="24"/>
        </w:rPr>
      </w:pPr>
      <w:r w:rsidRPr="00BA69C4">
        <w:rPr>
          <w:rFonts w:eastAsia="黑体"/>
          <w:sz w:val="24"/>
        </w:rPr>
        <w:t>2.2.3</w:t>
      </w:r>
      <w:r w:rsidRPr="00BA69C4">
        <w:rPr>
          <w:rFonts w:eastAsia="黑体" w:hAnsi="黑体" w:hint="eastAsia"/>
          <w:sz w:val="24"/>
        </w:rPr>
        <w:t>对自动滴定仪标注的修改</w:t>
      </w:r>
    </w:p>
    <w:p w:rsidR="00367E7E" w:rsidRDefault="00BA69C4" w:rsidP="00E775BC">
      <w:pPr>
        <w:spacing w:line="360" w:lineRule="auto"/>
        <w:ind w:firstLine="480"/>
        <w:rPr>
          <w:rFonts w:hAnsi="宋体"/>
          <w:sz w:val="24"/>
        </w:rPr>
      </w:pPr>
      <w:r w:rsidRPr="00BA69C4">
        <w:rPr>
          <w:rFonts w:hAnsi="宋体" w:hint="eastAsia"/>
          <w:sz w:val="24"/>
        </w:rPr>
        <w:t>在</w:t>
      </w:r>
      <w:r w:rsidRPr="00BA69C4">
        <w:rPr>
          <w:sz w:val="24"/>
        </w:rPr>
        <w:t>GB/T 8297-2008</w:t>
      </w:r>
      <w:r w:rsidRPr="00BA69C4">
        <w:rPr>
          <w:rFonts w:hAnsi="宋体" w:hint="eastAsia"/>
          <w:sz w:val="24"/>
        </w:rPr>
        <w:t>中，自动滴定仪是以注的形式说明，而本次修订</w:t>
      </w:r>
      <w:r w:rsidR="0070301E">
        <w:rPr>
          <w:rFonts w:hAnsi="宋体" w:hint="eastAsia"/>
          <w:sz w:val="24"/>
        </w:rPr>
        <w:t>等同采用</w:t>
      </w:r>
      <w:r w:rsidR="0070301E">
        <w:rPr>
          <w:rFonts w:hAnsi="宋体" w:hint="eastAsia"/>
          <w:sz w:val="24"/>
        </w:rPr>
        <w:t>ISO127</w:t>
      </w:r>
      <w:r w:rsidR="0070301E">
        <w:rPr>
          <w:rFonts w:hAnsi="宋体" w:hint="eastAsia"/>
          <w:sz w:val="24"/>
        </w:rPr>
        <w:t>：</w:t>
      </w:r>
      <w:r w:rsidR="0070301E">
        <w:rPr>
          <w:rFonts w:hAnsi="宋体" w:hint="eastAsia"/>
          <w:sz w:val="24"/>
        </w:rPr>
        <w:t>2012</w:t>
      </w:r>
      <w:r w:rsidR="0070301E">
        <w:rPr>
          <w:rFonts w:hAnsi="宋体" w:hint="eastAsia"/>
          <w:sz w:val="24"/>
        </w:rPr>
        <w:t>，</w:t>
      </w:r>
      <w:r w:rsidRPr="00BA69C4">
        <w:rPr>
          <w:rFonts w:hAnsi="宋体" w:hint="eastAsia"/>
          <w:sz w:val="24"/>
        </w:rPr>
        <w:t>将此部分作为标准条文。</w:t>
      </w:r>
    </w:p>
    <w:p w:rsidR="0008210F" w:rsidRPr="003100AA" w:rsidRDefault="0008210F" w:rsidP="0008210F">
      <w:pPr>
        <w:spacing w:line="360" w:lineRule="auto"/>
        <w:rPr>
          <w:rFonts w:eastAsia="黑体"/>
          <w:sz w:val="24"/>
        </w:rPr>
      </w:pPr>
      <w:r w:rsidRPr="00BA69C4">
        <w:rPr>
          <w:rFonts w:eastAsia="黑体"/>
          <w:sz w:val="24"/>
        </w:rPr>
        <w:t>2.2.</w:t>
      </w:r>
      <w:r>
        <w:rPr>
          <w:rFonts w:eastAsia="黑体" w:hint="eastAsia"/>
          <w:sz w:val="24"/>
        </w:rPr>
        <w:t>4</w:t>
      </w:r>
      <w:r w:rsidRPr="00BA69C4">
        <w:rPr>
          <w:rFonts w:eastAsia="黑体" w:hAnsi="黑体" w:hint="eastAsia"/>
          <w:sz w:val="24"/>
        </w:rPr>
        <w:t>对</w:t>
      </w:r>
      <w:r w:rsidR="00B66201">
        <w:rPr>
          <w:rFonts w:eastAsia="黑体" w:hAnsi="黑体" w:hint="eastAsia"/>
          <w:sz w:val="24"/>
        </w:rPr>
        <w:t>附录</w:t>
      </w:r>
      <w:r w:rsidR="00B66201">
        <w:rPr>
          <w:rFonts w:eastAsia="黑体" w:hAnsi="黑体" w:hint="eastAsia"/>
          <w:sz w:val="24"/>
        </w:rPr>
        <w:t>A</w:t>
      </w:r>
      <w:r w:rsidR="00B66201">
        <w:rPr>
          <w:rFonts w:eastAsia="黑体" w:hAnsi="黑体" w:hint="eastAsia"/>
          <w:sz w:val="24"/>
        </w:rPr>
        <w:t>甲醛测定结果计算式的修改</w:t>
      </w:r>
    </w:p>
    <w:p w:rsidR="0008210F" w:rsidRPr="0008210F" w:rsidRDefault="0008210F" w:rsidP="00E775BC">
      <w:pPr>
        <w:spacing w:line="360" w:lineRule="auto"/>
        <w:ind w:firstLine="480"/>
        <w:rPr>
          <w:rFonts w:hAnsi="宋体"/>
          <w:sz w:val="24"/>
        </w:rPr>
      </w:pPr>
      <w:r>
        <w:rPr>
          <w:rFonts w:hAnsi="宋体" w:hint="eastAsia"/>
          <w:sz w:val="24"/>
        </w:rPr>
        <w:t>在</w:t>
      </w:r>
      <w:r>
        <w:rPr>
          <w:rFonts w:hAnsi="宋体" w:hint="eastAsia"/>
          <w:sz w:val="24"/>
        </w:rPr>
        <w:t>GB/T8297-2008</w:t>
      </w:r>
      <w:r>
        <w:rPr>
          <w:rFonts w:hAnsi="宋体" w:hint="eastAsia"/>
          <w:sz w:val="24"/>
        </w:rPr>
        <w:t>中，</w:t>
      </w:r>
      <w:r w:rsidR="00B66201">
        <w:rPr>
          <w:rFonts w:hAnsi="宋体" w:hint="eastAsia"/>
          <w:sz w:val="24"/>
        </w:rPr>
        <w:t>沿用了以前的版本，在甲醛测定结果计算式中出现了“甲醛（</w:t>
      </w:r>
      <w:r w:rsidR="00B66201">
        <w:rPr>
          <w:rFonts w:hAnsi="宋体" w:hint="eastAsia"/>
          <w:sz w:val="24"/>
        </w:rPr>
        <w:t>%</w:t>
      </w:r>
      <w:r w:rsidR="00B66201">
        <w:rPr>
          <w:rFonts w:hAnsi="宋体" w:hint="eastAsia"/>
          <w:sz w:val="24"/>
        </w:rPr>
        <w:t>）”，并引入了编号（</w:t>
      </w:r>
      <w:r w:rsidR="00B66201">
        <w:rPr>
          <w:rFonts w:hAnsi="宋体" w:hint="eastAsia"/>
          <w:sz w:val="24"/>
        </w:rPr>
        <w:t>A.1</w:t>
      </w:r>
      <w:r w:rsidR="00B66201">
        <w:rPr>
          <w:rFonts w:hAnsi="宋体" w:hint="eastAsia"/>
          <w:sz w:val="24"/>
        </w:rPr>
        <w:t>）。</w:t>
      </w:r>
    </w:p>
    <w:p w:rsidR="0008210F" w:rsidRPr="005005BF" w:rsidRDefault="0008210F" w:rsidP="0008210F">
      <w:pPr>
        <w:ind w:leftChars="270" w:left="567" w:firstLineChars="357" w:firstLine="750"/>
        <w:jc w:val="right"/>
      </w:pPr>
      <w:r w:rsidRPr="005005BF">
        <w:t>甲醛（</w:t>
      </w:r>
      <w:r w:rsidRPr="005005BF">
        <w:t>%</w:t>
      </w:r>
      <w:r w:rsidRPr="005005BF">
        <w:t>）</w:t>
      </w:r>
      <w:r w:rsidRPr="005005BF">
        <w:t xml:space="preserve">= </w:t>
      </w:r>
      <w:r w:rsidRPr="005005BF">
        <w:rPr>
          <w:position w:val="-30"/>
        </w:rPr>
        <w:object w:dxaOrig="27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2pt;height:35.45pt" o:ole="">
            <v:imagedata r:id="rId8" o:title=""/>
          </v:shape>
          <o:OLEObject Type="Embed" ProgID="Equation.3" ShapeID="_x0000_i1025" DrawAspect="Content" ObjectID="_1540994065" r:id="rId9"/>
        </w:object>
      </w:r>
      <w:r w:rsidRPr="005005BF">
        <w:t xml:space="preserve">    ……………………</w:t>
      </w:r>
      <w:r w:rsidRPr="005005BF">
        <w:t>（</w:t>
      </w:r>
      <w:r w:rsidRPr="005005BF">
        <w:t>A.1</w:t>
      </w:r>
      <w:r w:rsidRPr="005005BF">
        <w:t>）</w:t>
      </w:r>
    </w:p>
    <w:p w:rsidR="0008210F" w:rsidRDefault="00B66201" w:rsidP="00E775BC">
      <w:pPr>
        <w:spacing w:line="360" w:lineRule="auto"/>
        <w:ind w:firstLine="480"/>
        <w:rPr>
          <w:rFonts w:hAnsi="宋体"/>
          <w:sz w:val="24"/>
        </w:rPr>
      </w:pPr>
      <w:r>
        <w:rPr>
          <w:rFonts w:hAnsi="宋体" w:hint="eastAsia"/>
          <w:sz w:val="24"/>
        </w:rPr>
        <w:t>本次修订等同采用</w:t>
      </w:r>
      <w:r>
        <w:rPr>
          <w:rFonts w:hAnsi="宋体" w:hint="eastAsia"/>
          <w:sz w:val="24"/>
        </w:rPr>
        <w:t>ISO127</w:t>
      </w:r>
      <w:r>
        <w:rPr>
          <w:rFonts w:hAnsi="宋体" w:hint="eastAsia"/>
          <w:sz w:val="24"/>
        </w:rPr>
        <w:t>：</w:t>
      </w:r>
      <w:r>
        <w:rPr>
          <w:rFonts w:hAnsi="宋体" w:hint="eastAsia"/>
          <w:sz w:val="24"/>
        </w:rPr>
        <w:t>2012</w:t>
      </w:r>
      <w:r>
        <w:rPr>
          <w:rFonts w:hAnsi="宋体" w:hint="eastAsia"/>
          <w:sz w:val="24"/>
        </w:rPr>
        <w:t>，删除了甲醛计算式中的“甲醛（</w:t>
      </w:r>
      <w:r>
        <w:rPr>
          <w:rFonts w:hAnsi="宋体" w:hint="eastAsia"/>
          <w:sz w:val="24"/>
        </w:rPr>
        <w:t>%</w:t>
      </w:r>
      <w:r>
        <w:rPr>
          <w:rFonts w:hAnsi="宋体" w:hint="eastAsia"/>
          <w:sz w:val="24"/>
        </w:rPr>
        <w:t>）”以及编号（</w:t>
      </w:r>
      <w:r>
        <w:rPr>
          <w:rFonts w:hAnsi="宋体" w:hint="eastAsia"/>
          <w:sz w:val="24"/>
        </w:rPr>
        <w:t>A.1</w:t>
      </w:r>
      <w:r>
        <w:rPr>
          <w:rFonts w:hAnsi="宋体" w:hint="eastAsia"/>
          <w:sz w:val="24"/>
        </w:rPr>
        <w:t>）。</w:t>
      </w:r>
    </w:p>
    <w:p w:rsidR="00B66201" w:rsidRPr="00B66201" w:rsidRDefault="00B66201" w:rsidP="000819E0">
      <w:pPr>
        <w:jc w:val="center"/>
        <w:rPr>
          <w:sz w:val="24"/>
        </w:rPr>
      </w:pPr>
      <w:r w:rsidRPr="005005BF">
        <w:rPr>
          <w:position w:val="-30"/>
        </w:rPr>
        <w:object w:dxaOrig="2780" w:dyaOrig="700">
          <v:shape id="_x0000_i1026" type="#_x0000_t75" style="width:138.2pt;height:35.45pt" o:ole="">
            <v:imagedata r:id="rId8" o:title=""/>
          </v:shape>
          <o:OLEObject Type="Embed" ProgID="Equation.3" ShapeID="_x0000_i1026" DrawAspect="Content" ObjectID="_1540994066" r:id="rId10"/>
        </w:object>
      </w:r>
    </w:p>
    <w:p w:rsidR="006F7F55" w:rsidRPr="003100AA" w:rsidRDefault="00BA69C4" w:rsidP="006F7F55">
      <w:pPr>
        <w:spacing w:line="360" w:lineRule="auto"/>
        <w:rPr>
          <w:rFonts w:eastAsia="黑体"/>
          <w:sz w:val="24"/>
        </w:rPr>
      </w:pPr>
      <w:r w:rsidRPr="00BA69C4">
        <w:rPr>
          <w:rFonts w:eastAsia="黑体"/>
          <w:sz w:val="24"/>
        </w:rPr>
        <w:t>2.2.</w:t>
      </w:r>
      <w:r w:rsidR="0008210F">
        <w:rPr>
          <w:rFonts w:eastAsia="黑体" w:hint="eastAsia"/>
          <w:sz w:val="24"/>
        </w:rPr>
        <w:t>5</w:t>
      </w:r>
      <w:r w:rsidR="0008210F" w:rsidRPr="00BA69C4">
        <w:rPr>
          <w:rFonts w:eastAsia="黑体"/>
          <w:sz w:val="24"/>
        </w:rPr>
        <w:t xml:space="preserve"> </w:t>
      </w:r>
      <w:r w:rsidRPr="00BA69C4">
        <w:rPr>
          <w:rFonts w:eastAsia="黑体" w:hAnsi="黑体" w:hint="eastAsia"/>
          <w:sz w:val="24"/>
        </w:rPr>
        <w:t>关于精密度的说明</w:t>
      </w:r>
    </w:p>
    <w:p w:rsidR="003C0BCA" w:rsidRPr="003100AA" w:rsidRDefault="0070301E" w:rsidP="003C0BCA">
      <w:pPr>
        <w:spacing w:line="360" w:lineRule="auto"/>
        <w:ind w:firstLine="480"/>
        <w:rPr>
          <w:sz w:val="24"/>
        </w:rPr>
      </w:pPr>
      <w:r>
        <w:rPr>
          <w:rFonts w:hAnsi="宋体" w:hint="eastAsia"/>
          <w:sz w:val="24"/>
        </w:rPr>
        <w:t>在</w:t>
      </w:r>
      <w:r>
        <w:rPr>
          <w:rFonts w:hAnsi="宋体" w:hint="eastAsia"/>
          <w:sz w:val="24"/>
        </w:rPr>
        <w:t>GB/T8297-2008</w:t>
      </w:r>
      <w:r>
        <w:rPr>
          <w:rFonts w:hAnsi="宋体" w:hint="eastAsia"/>
          <w:sz w:val="24"/>
        </w:rPr>
        <w:t>中，等同</w:t>
      </w:r>
      <w:r w:rsidR="00BA69C4" w:rsidRPr="00BA69C4">
        <w:rPr>
          <w:rFonts w:hAnsi="宋体" w:hint="eastAsia"/>
          <w:sz w:val="24"/>
        </w:rPr>
        <w:t>采用</w:t>
      </w:r>
      <w:r w:rsidR="00BA69C4" w:rsidRPr="00BA69C4">
        <w:rPr>
          <w:sz w:val="24"/>
        </w:rPr>
        <w:t>ISO 127</w:t>
      </w:r>
      <w:r>
        <w:rPr>
          <w:rFonts w:hint="eastAsia"/>
          <w:sz w:val="24"/>
        </w:rPr>
        <w:t>：</w:t>
      </w:r>
      <w:r w:rsidR="00BA69C4" w:rsidRPr="00BA69C4">
        <w:rPr>
          <w:sz w:val="24"/>
        </w:rPr>
        <w:t>1995/Amd.1</w:t>
      </w:r>
      <w:r>
        <w:rPr>
          <w:rFonts w:hint="eastAsia"/>
          <w:sz w:val="24"/>
        </w:rPr>
        <w:t>：</w:t>
      </w:r>
      <w:r w:rsidR="00BA69C4" w:rsidRPr="00BA69C4">
        <w:rPr>
          <w:sz w:val="24"/>
        </w:rPr>
        <w:t>2006</w:t>
      </w:r>
      <w:r w:rsidR="00BA69C4" w:rsidRPr="00BA69C4">
        <w:rPr>
          <w:rFonts w:hAnsi="宋体" w:hint="eastAsia"/>
          <w:sz w:val="24"/>
        </w:rPr>
        <w:t>中有关精密度的规定，并</w:t>
      </w:r>
      <w:r>
        <w:rPr>
          <w:rFonts w:hAnsi="宋体" w:hint="eastAsia"/>
          <w:sz w:val="24"/>
        </w:rPr>
        <w:t>相关内容作为</w:t>
      </w:r>
      <w:r w:rsidR="00BA69C4" w:rsidRPr="00BA69C4">
        <w:rPr>
          <w:rFonts w:hAnsi="宋体" w:hint="eastAsia"/>
          <w:sz w:val="24"/>
        </w:rPr>
        <w:t>第</w:t>
      </w:r>
      <w:r w:rsidR="00BA69C4" w:rsidRPr="00BA69C4">
        <w:rPr>
          <w:sz w:val="24"/>
        </w:rPr>
        <w:t>9</w:t>
      </w:r>
      <w:r w:rsidR="004807D9">
        <w:rPr>
          <w:rFonts w:hAnsi="宋体" w:hint="eastAsia"/>
          <w:sz w:val="24"/>
        </w:rPr>
        <w:t>章</w:t>
      </w:r>
      <w:r w:rsidR="00BA69C4" w:rsidRPr="00BA69C4">
        <w:rPr>
          <w:rFonts w:hint="eastAsia"/>
          <w:sz w:val="24"/>
        </w:rPr>
        <w:t>“</w:t>
      </w:r>
      <w:r w:rsidR="00BA69C4" w:rsidRPr="00BA69C4">
        <w:rPr>
          <w:rFonts w:hAnsi="宋体" w:hint="eastAsia"/>
          <w:sz w:val="24"/>
        </w:rPr>
        <w:t>精密度说明</w:t>
      </w:r>
      <w:r w:rsidR="00BA69C4" w:rsidRPr="00BA69C4">
        <w:rPr>
          <w:rFonts w:hint="eastAsia"/>
          <w:sz w:val="24"/>
        </w:rPr>
        <w:t>”</w:t>
      </w:r>
      <w:r>
        <w:rPr>
          <w:rFonts w:hint="eastAsia"/>
          <w:sz w:val="24"/>
        </w:rPr>
        <w:t>的条文。本次修订等同采用</w:t>
      </w:r>
      <w:r>
        <w:rPr>
          <w:rFonts w:hint="eastAsia"/>
          <w:sz w:val="24"/>
        </w:rPr>
        <w:t>ISO127</w:t>
      </w:r>
      <w:r>
        <w:rPr>
          <w:rFonts w:hint="eastAsia"/>
          <w:sz w:val="24"/>
        </w:rPr>
        <w:t>：</w:t>
      </w:r>
      <w:r>
        <w:rPr>
          <w:rFonts w:hint="eastAsia"/>
          <w:sz w:val="24"/>
        </w:rPr>
        <w:t>2012</w:t>
      </w:r>
      <w:r>
        <w:rPr>
          <w:rFonts w:hint="eastAsia"/>
          <w:sz w:val="24"/>
        </w:rPr>
        <w:t>，删除了</w:t>
      </w:r>
      <w:r>
        <w:rPr>
          <w:rFonts w:hint="eastAsia"/>
          <w:sz w:val="24"/>
        </w:rPr>
        <w:t>GB/T8297-2008</w:t>
      </w:r>
      <w:r>
        <w:rPr>
          <w:rFonts w:hint="eastAsia"/>
          <w:sz w:val="24"/>
        </w:rPr>
        <w:t>的第</w:t>
      </w:r>
      <w:r>
        <w:rPr>
          <w:rFonts w:hint="eastAsia"/>
          <w:sz w:val="24"/>
        </w:rPr>
        <w:t>9</w:t>
      </w:r>
      <w:r w:rsidR="004807D9">
        <w:rPr>
          <w:rFonts w:hint="eastAsia"/>
          <w:sz w:val="24"/>
        </w:rPr>
        <w:t>章</w:t>
      </w:r>
      <w:r>
        <w:rPr>
          <w:rFonts w:hint="eastAsia"/>
          <w:sz w:val="24"/>
        </w:rPr>
        <w:t>，相关条文</w:t>
      </w:r>
      <w:r w:rsidR="00BA69C4" w:rsidRPr="00BA69C4">
        <w:rPr>
          <w:rFonts w:hAnsi="宋体" w:hint="eastAsia"/>
          <w:sz w:val="24"/>
        </w:rPr>
        <w:t>改在资料性附录</w:t>
      </w:r>
      <w:r w:rsidR="00BA69C4" w:rsidRPr="00BA69C4">
        <w:rPr>
          <w:sz w:val="24"/>
        </w:rPr>
        <w:t>C</w:t>
      </w:r>
      <w:r w:rsidR="00BA69C4" w:rsidRPr="00BA69C4">
        <w:rPr>
          <w:rFonts w:hAnsi="宋体" w:hint="eastAsia"/>
          <w:sz w:val="24"/>
        </w:rPr>
        <w:t>中说明。</w:t>
      </w:r>
    </w:p>
    <w:p w:rsidR="007517B9" w:rsidRPr="003100AA" w:rsidRDefault="00BA69C4" w:rsidP="00E775BC">
      <w:pPr>
        <w:spacing w:line="360" w:lineRule="auto"/>
        <w:rPr>
          <w:rFonts w:eastAsia="黑体"/>
          <w:sz w:val="24"/>
        </w:rPr>
      </w:pPr>
      <w:r w:rsidRPr="00BA69C4">
        <w:rPr>
          <w:rFonts w:eastAsia="黑体"/>
          <w:sz w:val="24"/>
        </w:rPr>
        <w:t xml:space="preserve">3  </w:t>
      </w:r>
      <w:r w:rsidRPr="00BA69C4">
        <w:rPr>
          <w:rFonts w:eastAsia="黑体" w:hAnsi="黑体" w:hint="eastAsia"/>
          <w:sz w:val="24"/>
        </w:rPr>
        <w:t>本标准与有关现行法律、法规和强制性标准没有冲突。</w:t>
      </w:r>
    </w:p>
    <w:p w:rsidR="007517B9" w:rsidRPr="003100AA" w:rsidRDefault="00BA69C4" w:rsidP="00E775BC">
      <w:pPr>
        <w:spacing w:line="360" w:lineRule="auto"/>
        <w:rPr>
          <w:rFonts w:eastAsia="黑体"/>
          <w:sz w:val="24"/>
        </w:rPr>
      </w:pPr>
      <w:r w:rsidRPr="00BA69C4">
        <w:rPr>
          <w:rFonts w:eastAsia="黑体"/>
          <w:sz w:val="24"/>
        </w:rPr>
        <w:t xml:space="preserve">4  </w:t>
      </w:r>
      <w:r w:rsidRPr="00BA69C4">
        <w:rPr>
          <w:rFonts w:eastAsia="黑体" w:hAnsi="黑体" w:hint="eastAsia"/>
          <w:sz w:val="24"/>
        </w:rPr>
        <w:t>本标准（征求意见稿）在修订过程中尚未出现重大意见分歧。</w:t>
      </w:r>
    </w:p>
    <w:p w:rsidR="007517B9" w:rsidRPr="003100AA" w:rsidRDefault="00BA69C4" w:rsidP="00E775BC">
      <w:pPr>
        <w:spacing w:line="360" w:lineRule="auto"/>
        <w:rPr>
          <w:rFonts w:eastAsia="黑体"/>
          <w:sz w:val="24"/>
        </w:rPr>
      </w:pPr>
      <w:r w:rsidRPr="00BA69C4">
        <w:rPr>
          <w:rFonts w:eastAsia="黑体"/>
          <w:sz w:val="24"/>
        </w:rPr>
        <w:t xml:space="preserve">5  </w:t>
      </w:r>
      <w:r w:rsidRPr="00BA69C4">
        <w:rPr>
          <w:rFonts w:eastAsia="黑体" w:hAnsi="黑体" w:hint="eastAsia"/>
          <w:sz w:val="24"/>
        </w:rPr>
        <w:t>建议本标准作为推荐性标准发布实施，标准号为</w:t>
      </w:r>
      <w:r w:rsidRPr="00BA69C4">
        <w:rPr>
          <w:rFonts w:eastAsia="黑体"/>
          <w:sz w:val="24"/>
        </w:rPr>
        <w:t>GB/T 8297-20XX</w:t>
      </w:r>
      <w:r w:rsidRPr="00BA69C4">
        <w:rPr>
          <w:rFonts w:eastAsia="黑体" w:hAnsi="黑体" w:hint="eastAsia"/>
          <w:sz w:val="24"/>
        </w:rPr>
        <w:t>。</w:t>
      </w:r>
    </w:p>
    <w:p w:rsidR="007517B9" w:rsidRPr="003100AA" w:rsidRDefault="00BA69C4" w:rsidP="005D5F72">
      <w:pPr>
        <w:spacing w:line="360" w:lineRule="auto"/>
        <w:rPr>
          <w:sz w:val="24"/>
        </w:rPr>
      </w:pPr>
      <w:r w:rsidRPr="00BA69C4">
        <w:rPr>
          <w:rFonts w:eastAsia="黑体"/>
          <w:sz w:val="24"/>
        </w:rPr>
        <w:t xml:space="preserve">6 </w:t>
      </w:r>
      <w:r w:rsidRPr="00BA69C4">
        <w:rPr>
          <w:sz w:val="24"/>
        </w:rPr>
        <w:t xml:space="preserve"> </w:t>
      </w:r>
      <w:r w:rsidRPr="00BA69C4">
        <w:rPr>
          <w:rFonts w:hAnsi="宋体" w:hint="eastAsia"/>
          <w:sz w:val="24"/>
        </w:rPr>
        <w:t>本标准宣贯时应包括系列内容：</w:t>
      </w:r>
    </w:p>
    <w:p w:rsidR="007517B9" w:rsidRPr="003100AA" w:rsidRDefault="00BA69C4" w:rsidP="00E775BC">
      <w:pPr>
        <w:spacing w:line="360" w:lineRule="auto"/>
        <w:rPr>
          <w:sz w:val="24"/>
        </w:rPr>
      </w:pPr>
      <w:r w:rsidRPr="00BA69C4">
        <w:rPr>
          <w:sz w:val="24"/>
        </w:rPr>
        <w:t xml:space="preserve">   </w:t>
      </w:r>
      <w:r w:rsidRPr="00BA69C4">
        <w:rPr>
          <w:rFonts w:hAnsi="宋体" w:hint="eastAsia"/>
          <w:sz w:val="24"/>
        </w:rPr>
        <w:t>（</w:t>
      </w:r>
      <w:r w:rsidRPr="00BA69C4">
        <w:rPr>
          <w:sz w:val="24"/>
        </w:rPr>
        <w:t>1</w:t>
      </w:r>
      <w:r w:rsidRPr="00BA69C4">
        <w:rPr>
          <w:rFonts w:hAnsi="宋体" w:hint="eastAsia"/>
          <w:sz w:val="24"/>
        </w:rPr>
        <w:t>）介绍本标准修订的原因、过程及意义；</w:t>
      </w:r>
    </w:p>
    <w:p w:rsidR="007517B9" w:rsidRPr="003100AA" w:rsidRDefault="00BA69C4" w:rsidP="00E775BC">
      <w:pPr>
        <w:spacing w:line="360" w:lineRule="auto"/>
        <w:rPr>
          <w:sz w:val="24"/>
        </w:rPr>
      </w:pPr>
      <w:r w:rsidRPr="00BA69C4">
        <w:rPr>
          <w:sz w:val="24"/>
        </w:rPr>
        <w:lastRenderedPageBreak/>
        <w:t xml:space="preserve">   </w:t>
      </w:r>
      <w:r w:rsidRPr="00BA69C4">
        <w:rPr>
          <w:rFonts w:hAnsi="宋体" w:hint="eastAsia"/>
          <w:sz w:val="24"/>
        </w:rPr>
        <w:t>（</w:t>
      </w:r>
      <w:r w:rsidRPr="00BA69C4">
        <w:rPr>
          <w:sz w:val="24"/>
        </w:rPr>
        <w:t>2</w:t>
      </w:r>
      <w:r w:rsidRPr="00BA69C4">
        <w:rPr>
          <w:rFonts w:hAnsi="宋体" w:hint="eastAsia"/>
          <w:sz w:val="24"/>
        </w:rPr>
        <w:t>）介绍和解释本标准的主要技术内容；</w:t>
      </w:r>
    </w:p>
    <w:p w:rsidR="007517B9" w:rsidRPr="003100AA" w:rsidRDefault="00BA69C4" w:rsidP="00E775BC">
      <w:pPr>
        <w:spacing w:line="360" w:lineRule="auto"/>
        <w:rPr>
          <w:sz w:val="24"/>
        </w:rPr>
      </w:pPr>
      <w:r w:rsidRPr="00BA69C4">
        <w:rPr>
          <w:sz w:val="24"/>
        </w:rPr>
        <w:t xml:space="preserve">   </w:t>
      </w:r>
      <w:r w:rsidRPr="00BA69C4">
        <w:rPr>
          <w:rFonts w:hAnsi="宋体" w:hint="eastAsia"/>
          <w:sz w:val="24"/>
        </w:rPr>
        <w:t>（</w:t>
      </w:r>
      <w:r w:rsidRPr="00BA69C4">
        <w:rPr>
          <w:sz w:val="24"/>
        </w:rPr>
        <w:t>3</w:t>
      </w:r>
      <w:r w:rsidRPr="00BA69C4">
        <w:rPr>
          <w:rFonts w:hAnsi="宋体" w:hint="eastAsia"/>
          <w:sz w:val="24"/>
        </w:rPr>
        <w:t>）本标准实施过程中可能遇到的问题及解决办法。</w:t>
      </w:r>
    </w:p>
    <w:p w:rsidR="007517B9" w:rsidRPr="003100AA" w:rsidRDefault="00BA69C4" w:rsidP="00E775BC">
      <w:pPr>
        <w:spacing w:line="360" w:lineRule="auto"/>
        <w:rPr>
          <w:rFonts w:eastAsia="黑体"/>
          <w:sz w:val="24"/>
        </w:rPr>
      </w:pPr>
      <w:r w:rsidRPr="00BA69C4">
        <w:rPr>
          <w:rFonts w:eastAsia="黑体"/>
          <w:b/>
          <w:sz w:val="24"/>
        </w:rPr>
        <w:t xml:space="preserve"> 7  </w:t>
      </w:r>
      <w:r w:rsidRPr="00BA69C4">
        <w:rPr>
          <w:rFonts w:eastAsia="黑体" w:hAnsi="黑体" w:hint="eastAsia"/>
          <w:sz w:val="24"/>
        </w:rPr>
        <w:t>本标准宣贯时建议采用下列形式：</w:t>
      </w:r>
    </w:p>
    <w:p w:rsidR="007517B9" w:rsidRPr="003100AA" w:rsidRDefault="00BA69C4" w:rsidP="00E775BC">
      <w:pPr>
        <w:spacing w:line="360" w:lineRule="auto"/>
        <w:rPr>
          <w:sz w:val="24"/>
        </w:rPr>
      </w:pPr>
      <w:r w:rsidRPr="00BA69C4">
        <w:rPr>
          <w:sz w:val="24"/>
        </w:rPr>
        <w:t xml:space="preserve">   </w:t>
      </w:r>
      <w:r w:rsidRPr="00BA69C4">
        <w:rPr>
          <w:rFonts w:hAnsi="宋体" w:hint="eastAsia"/>
          <w:sz w:val="24"/>
        </w:rPr>
        <w:t>（</w:t>
      </w:r>
      <w:r w:rsidRPr="00BA69C4">
        <w:rPr>
          <w:sz w:val="24"/>
        </w:rPr>
        <w:t>1</w:t>
      </w:r>
      <w:r w:rsidRPr="00BA69C4">
        <w:rPr>
          <w:rFonts w:hAnsi="宋体" w:hint="eastAsia"/>
          <w:sz w:val="24"/>
        </w:rPr>
        <w:t>）举办有关生产使用企业和检验机构的有关人员参加的标准宣贯培训班；</w:t>
      </w:r>
    </w:p>
    <w:p w:rsidR="007517B9" w:rsidRPr="003100AA" w:rsidRDefault="00BA69C4" w:rsidP="00E775BC">
      <w:pPr>
        <w:spacing w:line="360" w:lineRule="auto"/>
        <w:rPr>
          <w:sz w:val="24"/>
        </w:rPr>
      </w:pPr>
      <w:r w:rsidRPr="00BA69C4">
        <w:rPr>
          <w:sz w:val="24"/>
        </w:rPr>
        <w:t xml:space="preserve">   </w:t>
      </w:r>
      <w:r w:rsidRPr="00BA69C4">
        <w:rPr>
          <w:rFonts w:hAnsi="宋体" w:hint="eastAsia"/>
          <w:sz w:val="24"/>
        </w:rPr>
        <w:t>（</w:t>
      </w:r>
      <w:r w:rsidRPr="00BA69C4">
        <w:rPr>
          <w:sz w:val="24"/>
        </w:rPr>
        <w:t>2</w:t>
      </w:r>
      <w:r w:rsidRPr="00BA69C4">
        <w:rPr>
          <w:rFonts w:hAnsi="宋体" w:hint="eastAsia"/>
          <w:sz w:val="24"/>
        </w:rPr>
        <w:t>）由本标准起草人员到有关企业和检验机构，对相关人员进行现场宣讲、示范操作。</w:t>
      </w:r>
    </w:p>
    <w:p w:rsidR="00333D3D" w:rsidRPr="003100AA" w:rsidRDefault="00333D3D" w:rsidP="00E775BC">
      <w:pPr>
        <w:spacing w:line="360" w:lineRule="auto"/>
        <w:rPr>
          <w:sz w:val="24"/>
        </w:rPr>
      </w:pPr>
    </w:p>
    <w:p w:rsidR="00333D3D" w:rsidRPr="003100AA" w:rsidRDefault="00333D3D" w:rsidP="00E775BC">
      <w:pPr>
        <w:spacing w:line="360" w:lineRule="auto"/>
        <w:rPr>
          <w:sz w:val="24"/>
        </w:rPr>
      </w:pPr>
    </w:p>
    <w:p w:rsidR="00333D3D" w:rsidRPr="003100AA" w:rsidRDefault="00333D3D" w:rsidP="00E775BC">
      <w:pPr>
        <w:spacing w:line="360" w:lineRule="auto"/>
        <w:rPr>
          <w:sz w:val="24"/>
        </w:rPr>
      </w:pPr>
    </w:p>
    <w:p w:rsidR="00E25B82" w:rsidRPr="003100AA" w:rsidRDefault="00E25B82" w:rsidP="00E775BC">
      <w:pPr>
        <w:spacing w:line="360" w:lineRule="auto"/>
        <w:rPr>
          <w:sz w:val="24"/>
        </w:rPr>
      </w:pPr>
    </w:p>
    <w:p w:rsidR="00E25B82" w:rsidRPr="003100AA" w:rsidRDefault="00BA69C4" w:rsidP="00E25B82">
      <w:pPr>
        <w:wordWrap w:val="0"/>
        <w:spacing w:line="360" w:lineRule="auto"/>
        <w:jc w:val="right"/>
        <w:rPr>
          <w:sz w:val="24"/>
        </w:rPr>
      </w:pPr>
      <w:r w:rsidRPr="00BA69C4">
        <w:rPr>
          <w:rFonts w:hAnsi="宋体" w:hint="eastAsia"/>
          <w:sz w:val="24"/>
        </w:rPr>
        <w:t>《浓缩天然胶乳</w:t>
      </w:r>
      <w:r w:rsidRPr="00BA69C4">
        <w:rPr>
          <w:sz w:val="24"/>
        </w:rPr>
        <w:t xml:space="preserve"> </w:t>
      </w:r>
      <w:r w:rsidRPr="00BA69C4">
        <w:rPr>
          <w:rFonts w:hAnsi="宋体" w:hint="eastAsia"/>
          <w:sz w:val="24"/>
        </w:rPr>
        <w:t>氢氧化钾</w:t>
      </w:r>
      <w:r w:rsidRPr="00BA69C4">
        <w:rPr>
          <w:sz w:val="24"/>
        </w:rPr>
        <w:t>(KOH)</w:t>
      </w:r>
      <w:r w:rsidRPr="00BA69C4">
        <w:rPr>
          <w:rFonts w:hAnsi="宋体" w:hint="eastAsia"/>
          <w:sz w:val="24"/>
        </w:rPr>
        <w:t>值的测定》修订小组</w:t>
      </w:r>
    </w:p>
    <w:p w:rsidR="00E25B82" w:rsidRPr="003100AA" w:rsidRDefault="00BA69C4" w:rsidP="00E25B82">
      <w:pPr>
        <w:spacing w:line="360" w:lineRule="auto"/>
        <w:jc w:val="right"/>
        <w:rPr>
          <w:sz w:val="24"/>
        </w:rPr>
      </w:pPr>
      <w:r w:rsidRPr="00BA69C4">
        <w:rPr>
          <w:sz w:val="24"/>
        </w:rPr>
        <w:t>2016</w:t>
      </w:r>
      <w:r w:rsidRPr="00BA69C4">
        <w:rPr>
          <w:rFonts w:hAnsi="宋体" w:hint="eastAsia"/>
          <w:sz w:val="24"/>
        </w:rPr>
        <w:t>年</w:t>
      </w:r>
      <w:r w:rsidRPr="00BA69C4">
        <w:rPr>
          <w:sz w:val="24"/>
        </w:rPr>
        <w:t>8</w:t>
      </w:r>
      <w:r w:rsidRPr="00BA69C4">
        <w:rPr>
          <w:rFonts w:hAnsi="宋体" w:hint="eastAsia"/>
          <w:sz w:val="24"/>
        </w:rPr>
        <w:t>月</w:t>
      </w:r>
      <w:r w:rsidRPr="00BA69C4">
        <w:rPr>
          <w:sz w:val="24"/>
        </w:rPr>
        <w:t>4</w:t>
      </w:r>
      <w:r w:rsidRPr="00BA69C4">
        <w:rPr>
          <w:rFonts w:hAnsi="宋体" w:hint="eastAsia"/>
          <w:sz w:val="24"/>
        </w:rPr>
        <w:t>日</w:t>
      </w:r>
    </w:p>
    <w:p w:rsidR="004A2DF7" w:rsidRPr="003100AA" w:rsidRDefault="00BA69C4">
      <w:r w:rsidRPr="00BA69C4">
        <w:rPr>
          <w:b/>
          <w:sz w:val="24"/>
        </w:rPr>
        <w:t xml:space="preserve">    </w:t>
      </w:r>
    </w:p>
    <w:sectPr w:rsidR="004A2DF7" w:rsidRPr="003100AA" w:rsidSect="005E59F9">
      <w:headerReference w:type="default" r:id="rId11"/>
      <w:footerReference w:type="even" r:id="rId12"/>
      <w:footerReference w:type="default" r:id="rId13"/>
      <w:pgSz w:w="11906" w:h="16838"/>
      <w:pgMar w:top="1361" w:right="1418" w:bottom="1361" w:left="1418"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4D2" w:rsidRDefault="008B74D2">
      <w:r>
        <w:separator/>
      </w:r>
    </w:p>
  </w:endnote>
  <w:endnote w:type="continuationSeparator" w:id="1">
    <w:p w:rsidR="008B74D2" w:rsidRDefault="008B7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2D7" w:rsidRDefault="0017428A" w:rsidP="00A907BC">
    <w:pPr>
      <w:pStyle w:val="a4"/>
      <w:framePr w:wrap="around" w:vAnchor="text" w:hAnchor="margin" w:xAlign="center" w:y="1"/>
      <w:rPr>
        <w:rStyle w:val="a7"/>
      </w:rPr>
    </w:pPr>
    <w:r>
      <w:rPr>
        <w:rStyle w:val="a7"/>
      </w:rPr>
      <w:fldChar w:fldCharType="begin"/>
    </w:r>
    <w:r w:rsidR="00FC72D7">
      <w:rPr>
        <w:rStyle w:val="a7"/>
      </w:rPr>
      <w:instrText xml:space="preserve">PAGE  </w:instrText>
    </w:r>
    <w:r>
      <w:rPr>
        <w:rStyle w:val="a7"/>
      </w:rPr>
      <w:fldChar w:fldCharType="end"/>
    </w:r>
  </w:p>
  <w:p w:rsidR="00FC72D7" w:rsidRDefault="00FC72D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2D7" w:rsidRDefault="0017428A" w:rsidP="00A907BC">
    <w:pPr>
      <w:pStyle w:val="a4"/>
      <w:framePr w:wrap="around" w:vAnchor="text" w:hAnchor="margin" w:xAlign="center" w:y="1"/>
      <w:rPr>
        <w:rStyle w:val="a7"/>
      </w:rPr>
    </w:pPr>
    <w:r>
      <w:rPr>
        <w:rStyle w:val="a7"/>
      </w:rPr>
      <w:fldChar w:fldCharType="begin"/>
    </w:r>
    <w:r w:rsidR="00FC72D7">
      <w:rPr>
        <w:rStyle w:val="a7"/>
      </w:rPr>
      <w:instrText xml:space="preserve">PAGE  </w:instrText>
    </w:r>
    <w:r>
      <w:rPr>
        <w:rStyle w:val="a7"/>
      </w:rPr>
      <w:fldChar w:fldCharType="separate"/>
    </w:r>
    <w:r w:rsidR="00F31884">
      <w:rPr>
        <w:rStyle w:val="a7"/>
        <w:noProof/>
      </w:rPr>
      <w:t>3</w:t>
    </w:r>
    <w:r>
      <w:rPr>
        <w:rStyle w:val="a7"/>
      </w:rPr>
      <w:fldChar w:fldCharType="end"/>
    </w:r>
  </w:p>
  <w:p w:rsidR="00FC72D7" w:rsidRDefault="00FC72D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4D2" w:rsidRDefault="008B74D2">
      <w:r>
        <w:separator/>
      </w:r>
    </w:p>
  </w:footnote>
  <w:footnote w:type="continuationSeparator" w:id="1">
    <w:p w:rsidR="008B74D2" w:rsidRDefault="008B74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2D7" w:rsidRDefault="00FC72D7" w:rsidP="005D5F7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6F1F"/>
    <w:multiLevelType w:val="hybridMultilevel"/>
    <w:tmpl w:val="114032D2"/>
    <w:lvl w:ilvl="0" w:tplc="99ACE9B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FFC6562"/>
    <w:multiLevelType w:val="hybridMultilevel"/>
    <w:tmpl w:val="F5462CC6"/>
    <w:lvl w:ilvl="0" w:tplc="C9F664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5034185"/>
    <w:multiLevelType w:val="hybridMultilevel"/>
    <w:tmpl w:val="A184E4D0"/>
    <w:lvl w:ilvl="0" w:tplc="033671A8">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9B43A2D"/>
    <w:multiLevelType w:val="hybridMultilevel"/>
    <w:tmpl w:val="952E782C"/>
    <w:lvl w:ilvl="0" w:tplc="55AAD144">
      <w:start w:val="2"/>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B89324E"/>
    <w:multiLevelType w:val="multilevel"/>
    <w:tmpl w:val="1452F922"/>
    <w:lvl w:ilvl="0">
      <w:start w:val="2"/>
      <w:numFmt w:val="decimal"/>
      <w:lvlText w:val="%1"/>
      <w:lvlJc w:val="left"/>
      <w:pPr>
        <w:tabs>
          <w:tab w:val="num" w:pos="360"/>
        </w:tabs>
        <w:ind w:left="360" w:hanging="360"/>
      </w:pPr>
      <w:rPr>
        <w:rFonts w:hint="default"/>
      </w:rPr>
    </w:lvl>
    <w:lvl w:ilvl="1">
      <w:start w:val="2"/>
      <w:numFmt w:val="decimal"/>
      <w:isLgl/>
      <w:lvlText w:val="%1.%2"/>
      <w:lvlJc w:val="left"/>
      <w:pPr>
        <w:tabs>
          <w:tab w:val="num" w:pos="600"/>
        </w:tabs>
        <w:ind w:left="600" w:hanging="600"/>
      </w:pPr>
      <w:rPr>
        <w:rFonts w:hAnsi="Times New Roman" w:hint="default"/>
      </w:rPr>
    </w:lvl>
    <w:lvl w:ilvl="2">
      <w:start w:val="1"/>
      <w:numFmt w:val="decimal"/>
      <w:isLgl/>
      <w:lvlText w:val="%1.%2.%3"/>
      <w:lvlJc w:val="left"/>
      <w:pPr>
        <w:tabs>
          <w:tab w:val="num" w:pos="720"/>
        </w:tabs>
        <w:ind w:left="720" w:hanging="720"/>
      </w:pPr>
      <w:rPr>
        <w:rFonts w:hAnsi="Times New Roman" w:hint="default"/>
      </w:rPr>
    </w:lvl>
    <w:lvl w:ilvl="3">
      <w:start w:val="1"/>
      <w:numFmt w:val="decimal"/>
      <w:isLgl/>
      <w:lvlText w:val="%1.%2.%3.%4"/>
      <w:lvlJc w:val="left"/>
      <w:pPr>
        <w:tabs>
          <w:tab w:val="num" w:pos="1080"/>
        </w:tabs>
        <w:ind w:left="1080" w:hanging="1080"/>
      </w:pPr>
      <w:rPr>
        <w:rFonts w:hAnsi="Times New Roman" w:hint="default"/>
      </w:rPr>
    </w:lvl>
    <w:lvl w:ilvl="4">
      <w:start w:val="1"/>
      <w:numFmt w:val="decimal"/>
      <w:isLgl/>
      <w:lvlText w:val="%1.%2.%3.%4.%5"/>
      <w:lvlJc w:val="left"/>
      <w:pPr>
        <w:tabs>
          <w:tab w:val="num" w:pos="1080"/>
        </w:tabs>
        <w:ind w:left="1080" w:hanging="1080"/>
      </w:pPr>
      <w:rPr>
        <w:rFonts w:hAnsi="Times New Roman" w:hint="default"/>
      </w:rPr>
    </w:lvl>
    <w:lvl w:ilvl="5">
      <w:start w:val="1"/>
      <w:numFmt w:val="decimal"/>
      <w:isLgl/>
      <w:lvlText w:val="%1.%2.%3.%4.%5.%6"/>
      <w:lvlJc w:val="left"/>
      <w:pPr>
        <w:tabs>
          <w:tab w:val="num" w:pos="1440"/>
        </w:tabs>
        <w:ind w:left="1440" w:hanging="1440"/>
      </w:pPr>
      <w:rPr>
        <w:rFonts w:hAnsi="Times New Roman" w:hint="default"/>
      </w:rPr>
    </w:lvl>
    <w:lvl w:ilvl="6">
      <w:start w:val="1"/>
      <w:numFmt w:val="decimal"/>
      <w:isLgl/>
      <w:lvlText w:val="%1.%2.%3.%4.%5.%6.%7"/>
      <w:lvlJc w:val="left"/>
      <w:pPr>
        <w:tabs>
          <w:tab w:val="num" w:pos="1800"/>
        </w:tabs>
        <w:ind w:left="1800" w:hanging="1800"/>
      </w:pPr>
      <w:rPr>
        <w:rFonts w:hAnsi="Times New Roman" w:hint="default"/>
      </w:rPr>
    </w:lvl>
    <w:lvl w:ilvl="7">
      <w:start w:val="1"/>
      <w:numFmt w:val="decimal"/>
      <w:isLgl/>
      <w:lvlText w:val="%1.%2.%3.%4.%5.%6.%7.%8"/>
      <w:lvlJc w:val="left"/>
      <w:pPr>
        <w:tabs>
          <w:tab w:val="num" w:pos="1800"/>
        </w:tabs>
        <w:ind w:left="1800" w:hanging="1800"/>
      </w:pPr>
      <w:rPr>
        <w:rFonts w:hAnsi="Times New Roman" w:hint="default"/>
      </w:rPr>
    </w:lvl>
    <w:lvl w:ilvl="8">
      <w:start w:val="1"/>
      <w:numFmt w:val="decimal"/>
      <w:isLgl/>
      <w:lvlText w:val="%1.%2.%3.%4.%5.%6.%7.%8.%9"/>
      <w:lvlJc w:val="left"/>
      <w:pPr>
        <w:tabs>
          <w:tab w:val="num" w:pos="2160"/>
        </w:tabs>
        <w:ind w:left="2160" w:hanging="2160"/>
      </w:pPr>
      <w:rPr>
        <w:rFonts w:hAnsi="Times New Roman" w:hint="default"/>
      </w:rPr>
    </w:lvl>
  </w:abstractNum>
  <w:abstractNum w:abstractNumId="5">
    <w:nsid w:val="69467E10"/>
    <w:multiLevelType w:val="hybridMultilevel"/>
    <w:tmpl w:val="E6EA631A"/>
    <w:lvl w:ilvl="0" w:tplc="48BCE4DC">
      <w:start w:val="1"/>
      <w:numFmt w:val="bullet"/>
      <w:lvlText w:val=""/>
      <w:lvlJc w:val="left"/>
      <w:pPr>
        <w:tabs>
          <w:tab w:val="num" w:pos="720"/>
        </w:tabs>
        <w:ind w:left="720" w:hanging="360"/>
      </w:pPr>
      <w:rPr>
        <w:rFonts w:ascii="Wingdings" w:hAnsi="Wingdings" w:hint="default"/>
      </w:rPr>
    </w:lvl>
    <w:lvl w:ilvl="1" w:tplc="679E93BE" w:tentative="1">
      <w:start w:val="1"/>
      <w:numFmt w:val="bullet"/>
      <w:lvlText w:val=""/>
      <w:lvlJc w:val="left"/>
      <w:pPr>
        <w:tabs>
          <w:tab w:val="num" w:pos="1440"/>
        </w:tabs>
        <w:ind w:left="1440" w:hanging="360"/>
      </w:pPr>
      <w:rPr>
        <w:rFonts w:ascii="Wingdings" w:hAnsi="Wingdings" w:hint="default"/>
      </w:rPr>
    </w:lvl>
    <w:lvl w:ilvl="2" w:tplc="73223DA8" w:tentative="1">
      <w:start w:val="1"/>
      <w:numFmt w:val="bullet"/>
      <w:lvlText w:val=""/>
      <w:lvlJc w:val="left"/>
      <w:pPr>
        <w:tabs>
          <w:tab w:val="num" w:pos="2160"/>
        </w:tabs>
        <w:ind w:left="2160" w:hanging="360"/>
      </w:pPr>
      <w:rPr>
        <w:rFonts w:ascii="Wingdings" w:hAnsi="Wingdings" w:hint="default"/>
      </w:rPr>
    </w:lvl>
    <w:lvl w:ilvl="3" w:tplc="CE0AF7C4" w:tentative="1">
      <w:start w:val="1"/>
      <w:numFmt w:val="bullet"/>
      <w:lvlText w:val=""/>
      <w:lvlJc w:val="left"/>
      <w:pPr>
        <w:tabs>
          <w:tab w:val="num" w:pos="2880"/>
        </w:tabs>
        <w:ind w:left="2880" w:hanging="360"/>
      </w:pPr>
      <w:rPr>
        <w:rFonts w:ascii="Wingdings" w:hAnsi="Wingdings" w:hint="default"/>
      </w:rPr>
    </w:lvl>
    <w:lvl w:ilvl="4" w:tplc="C810858C" w:tentative="1">
      <w:start w:val="1"/>
      <w:numFmt w:val="bullet"/>
      <w:lvlText w:val=""/>
      <w:lvlJc w:val="left"/>
      <w:pPr>
        <w:tabs>
          <w:tab w:val="num" w:pos="3600"/>
        </w:tabs>
        <w:ind w:left="3600" w:hanging="360"/>
      </w:pPr>
      <w:rPr>
        <w:rFonts w:ascii="Wingdings" w:hAnsi="Wingdings" w:hint="default"/>
      </w:rPr>
    </w:lvl>
    <w:lvl w:ilvl="5" w:tplc="CD1E9472" w:tentative="1">
      <w:start w:val="1"/>
      <w:numFmt w:val="bullet"/>
      <w:lvlText w:val=""/>
      <w:lvlJc w:val="left"/>
      <w:pPr>
        <w:tabs>
          <w:tab w:val="num" w:pos="4320"/>
        </w:tabs>
        <w:ind w:left="4320" w:hanging="360"/>
      </w:pPr>
      <w:rPr>
        <w:rFonts w:ascii="Wingdings" w:hAnsi="Wingdings" w:hint="default"/>
      </w:rPr>
    </w:lvl>
    <w:lvl w:ilvl="6" w:tplc="77B82D8A" w:tentative="1">
      <w:start w:val="1"/>
      <w:numFmt w:val="bullet"/>
      <w:lvlText w:val=""/>
      <w:lvlJc w:val="left"/>
      <w:pPr>
        <w:tabs>
          <w:tab w:val="num" w:pos="5040"/>
        </w:tabs>
        <w:ind w:left="5040" w:hanging="360"/>
      </w:pPr>
      <w:rPr>
        <w:rFonts w:ascii="Wingdings" w:hAnsi="Wingdings" w:hint="default"/>
      </w:rPr>
    </w:lvl>
    <w:lvl w:ilvl="7" w:tplc="4E9E87F4" w:tentative="1">
      <w:start w:val="1"/>
      <w:numFmt w:val="bullet"/>
      <w:lvlText w:val=""/>
      <w:lvlJc w:val="left"/>
      <w:pPr>
        <w:tabs>
          <w:tab w:val="num" w:pos="5760"/>
        </w:tabs>
        <w:ind w:left="5760" w:hanging="360"/>
      </w:pPr>
      <w:rPr>
        <w:rFonts w:ascii="Wingdings" w:hAnsi="Wingdings" w:hint="default"/>
      </w:rPr>
    </w:lvl>
    <w:lvl w:ilvl="8" w:tplc="28B067D6" w:tentative="1">
      <w:start w:val="1"/>
      <w:numFmt w:val="bullet"/>
      <w:lvlText w:val=""/>
      <w:lvlJc w:val="left"/>
      <w:pPr>
        <w:tabs>
          <w:tab w:val="num" w:pos="6480"/>
        </w:tabs>
        <w:ind w:left="6480" w:hanging="360"/>
      </w:pPr>
      <w:rPr>
        <w:rFonts w:ascii="Wingdings" w:hAnsi="Wingdings" w:hint="default"/>
      </w:rPr>
    </w:lvl>
  </w:abstractNum>
  <w:abstractNum w:abstractNumId="6">
    <w:nsid w:val="6C2C174A"/>
    <w:multiLevelType w:val="hybridMultilevel"/>
    <w:tmpl w:val="323C84A8"/>
    <w:lvl w:ilvl="0" w:tplc="9B3A65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C787DC4"/>
    <w:multiLevelType w:val="hybridMultilevel"/>
    <w:tmpl w:val="2D5A5E42"/>
    <w:lvl w:ilvl="0" w:tplc="97788104">
      <w:start w:val="1"/>
      <w:numFmt w:val="decimal"/>
      <w:lvlText w:val="%1、"/>
      <w:lvlJc w:val="left"/>
      <w:pPr>
        <w:tabs>
          <w:tab w:val="num" w:pos="390"/>
        </w:tabs>
        <w:ind w:left="390" w:hanging="390"/>
      </w:pPr>
      <w:rPr>
        <w:rFonts w:ascii="宋体" w:eastAsia="宋体" w:hAnsi="Times New Roman" w:cs="Times New Roman"/>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54D5465"/>
    <w:multiLevelType w:val="hybridMultilevel"/>
    <w:tmpl w:val="183C38FE"/>
    <w:lvl w:ilvl="0" w:tplc="623AA04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5"/>
  </w:num>
  <w:num w:numId="3">
    <w:abstractNumId w:val="3"/>
  </w:num>
  <w:num w:numId="4">
    <w:abstractNumId w:val="2"/>
  </w:num>
  <w:num w:numId="5">
    <w:abstractNumId w:val="0"/>
  </w:num>
  <w:num w:numId="6">
    <w:abstractNumId w:val="8"/>
  </w:num>
  <w:num w:numId="7">
    <w:abstractNumId w:val="1"/>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075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0A27"/>
    <w:rsid w:val="00002CEC"/>
    <w:rsid w:val="00003690"/>
    <w:rsid w:val="00003BE1"/>
    <w:rsid w:val="00004427"/>
    <w:rsid w:val="000054FA"/>
    <w:rsid w:val="000056DD"/>
    <w:rsid w:val="000061D5"/>
    <w:rsid w:val="00006AAA"/>
    <w:rsid w:val="00011238"/>
    <w:rsid w:val="00014CFE"/>
    <w:rsid w:val="00014E2A"/>
    <w:rsid w:val="000201BA"/>
    <w:rsid w:val="0002296C"/>
    <w:rsid w:val="000253BD"/>
    <w:rsid w:val="000275CD"/>
    <w:rsid w:val="00027CCC"/>
    <w:rsid w:val="0003093D"/>
    <w:rsid w:val="00032F10"/>
    <w:rsid w:val="00034332"/>
    <w:rsid w:val="00036087"/>
    <w:rsid w:val="00037C30"/>
    <w:rsid w:val="000413D0"/>
    <w:rsid w:val="00044A1C"/>
    <w:rsid w:val="00045A6D"/>
    <w:rsid w:val="0004641B"/>
    <w:rsid w:val="00046DEB"/>
    <w:rsid w:val="0005141A"/>
    <w:rsid w:val="00054EA1"/>
    <w:rsid w:val="00055CCD"/>
    <w:rsid w:val="00056C53"/>
    <w:rsid w:val="000573EA"/>
    <w:rsid w:val="00060012"/>
    <w:rsid w:val="00060525"/>
    <w:rsid w:val="000623F2"/>
    <w:rsid w:val="0006331D"/>
    <w:rsid w:val="00067EED"/>
    <w:rsid w:val="000717BA"/>
    <w:rsid w:val="00071E86"/>
    <w:rsid w:val="0007298A"/>
    <w:rsid w:val="0007399A"/>
    <w:rsid w:val="00074BC1"/>
    <w:rsid w:val="00076C2D"/>
    <w:rsid w:val="000779C3"/>
    <w:rsid w:val="000802FD"/>
    <w:rsid w:val="000819E0"/>
    <w:rsid w:val="0008210F"/>
    <w:rsid w:val="0008229E"/>
    <w:rsid w:val="00085EB0"/>
    <w:rsid w:val="000871AA"/>
    <w:rsid w:val="00087C3B"/>
    <w:rsid w:val="000902DA"/>
    <w:rsid w:val="0009138D"/>
    <w:rsid w:val="00092B54"/>
    <w:rsid w:val="0009331B"/>
    <w:rsid w:val="0009346F"/>
    <w:rsid w:val="000937DB"/>
    <w:rsid w:val="00094723"/>
    <w:rsid w:val="000A0104"/>
    <w:rsid w:val="000A023A"/>
    <w:rsid w:val="000A1128"/>
    <w:rsid w:val="000A4E64"/>
    <w:rsid w:val="000B2268"/>
    <w:rsid w:val="000B3AD6"/>
    <w:rsid w:val="000B6777"/>
    <w:rsid w:val="000B796B"/>
    <w:rsid w:val="000C0A4C"/>
    <w:rsid w:val="000C1944"/>
    <w:rsid w:val="000C1A8F"/>
    <w:rsid w:val="000C3A61"/>
    <w:rsid w:val="000C3C6D"/>
    <w:rsid w:val="000C4BB2"/>
    <w:rsid w:val="000D1CD6"/>
    <w:rsid w:val="000D26D9"/>
    <w:rsid w:val="000D399A"/>
    <w:rsid w:val="000E490D"/>
    <w:rsid w:val="000E4BB5"/>
    <w:rsid w:val="000F012E"/>
    <w:rsid w:val="001002A3"/>
    <w:rsid w:val="00100DDD"/>
    <w:rsid w:val="001047DA"/>
    <w:rsid w:val="00105AD7"/>
    <w:rsid w:val="0010663A"/>
    <w:rsid w:val="00106E66"/>
    <w:rsid w:val="00107FA0"/>
    <w:rsid w:val="00111BBD"/>
    <w:rsid w:val="00111EDA"/>
    <w:rsid w:val="00117802"/>
    <w:rsid w:val="00122455"/>
    <w:rsid w:val="00130412"/>
    <w:rsid w:val="00133588"/>
    <w:rsid w:val="0013534C"/>
    <w:rsid w:val="00135498"/>
    <w:rsid w:val="001357E9"/>
    <w:rsid w:val="0014112E"/>
    <w:rsid w:val="00143270"/>
    <w:rsid w:val="00143B67"/>
    <w:rsid w:val="00144358"/>
    <w:rsid w:val="00146AE2"/>
    <w:rsid w:val="001471B0"/>
    <w:rsid w:val="00147864"/>
    <w:rsid w:val="001518FA"/>
    <w:rsid w:val="00151B4B"/>
    <w:rsid w:val="0015343E"/>
    <w:rsid w:val="0015360A"/>
    <w:rsid w:val="00153A00"/>
    <w:rsid w:val="001551F4"/>
    <w:rsid w:val="00156FCE"/>
    <w:rsid w:val="00160E39"/>
    <w:rsid w:val="001624A7"/>
    <w:rsid w:val="00162C5A"/>
    <w:rsid w:val="001644D4"/>
    <w:rsid w:val="00171E09"/>
    <w:rsid w:val="001736F0"/>
    <w:rsid w:val="0017403F"/>
    <w:rsid w:val="0017428A"/>
    <w:rsid w:val="00175FFC"/>
    <w:rsid w:val="0018040E"/>
    <w:rsid w:val="0018152F"/>
    <w:rsid w:val="001823A2"/>
    <w:rsid w:val="00182E65"/>
    <w:rsid w:val="00187362"/>
    <w:rsid w:val="00187504"/>
    <w:rsid w:val="001941D6"/>
    <w:rsid w:val="00195324"/>
    <w:rsid w:val="0019715D"/>
    <w:rsid w:val="001973E2"/>
    <w:rsid w:val="001A27CB"/>
    <w:rsid w:val="001A2EB1"/>
    <w:rsid w:val="001A457D"/>
    <w:rsid w:val="001A4E87"/>
    <w:rsid w:val="001B034A"/>
    <w:rsid w:val="001B05F9"/>
    <w:rsid w:val="001B49FB"/>
    <w:rsid w:val="001B4CD1"/>
    <w:rsid w:val="001B6116"/>
    <w:rsid w:val="001B6191"/>
    <w:rsid w:val="001B636C"/>
    <w:rsid w:val="001C03AF"/>
    <w:rsid w:val="001C064F"/>
    <w:rsid w:val="001C16E2"/>
    <w:rsid w:val="001C5778"/>
    <w:rsid w:val="001C686E"/>
    <w:rsid w:val="001D0D18"/>
    <w:rsid w:val="001D2CB8"/>
    <w:rsid w:val="001D523A"/>
    <w:rsid w:val="001D5480"/>
    <w:rsid w:val="001D7771"/>
    <w:rsid w:val="001E090A"/>
    <w:rsid w:val="001E0E66"/>
    <w:rsid w:val="001E30DE"/>
    <w:rsid w:val="001F2A29"/>
    <w:rsid w:val="001F31F4"/>
    <w:rsid w:val="001F33AF"/>
    <w:rsid w:val="001F3475"/>
    <w:rsid w:val="001F70B3"/>
    <w:rsid w:val="001F7448"/>
    <w:rsid w:val="001F7766"/>
    <w:rsid w:val="00201C73"/>
    <w:rsid w:val="002050A8"/>
    <w:rsid w:val="00205A97"/>
    <w:rsid w:val="0020778B"/>
    <w:rsid w:val="00210271"/>
    <w:rsid w:val="00216C96"/>
    <w:rsid w:val="00217E4C"/>
    <w:rsid w:val="00222054"/>
    <w:rsid w:val="00226F79"/>
    <w:rsid w:val="002301DF"/>
    <w:rsid w:val="00230C48"/>
    <w:rsid w:val="002312E3"/>
    <w:rsid w:val="002357D9"/>
    <w:rsid w:val="0023641F"/>
    <w:rsid w:val="002405DA"/>
    <w:rsid w:val="00243F71"/>
    <w:rsid w:val="002455EC"/>
    <w:rsid w:val="00245B39"/>
    <w:rsid w:val="00245D31"/>
    <w:rsid w:val="0024744D"/>
    <w:rsid w:val="00247F11"/>
    <w:rsid w:val="0025288C"/>
    <w:rsid w:val="0025327D"/>
    <w:rsid w:val="00261B3B"/>
    <w:rsid w:val="00267AA4"/>
    <w:rsid w:val="0027300B"/>
    <w:rsid w:val="00273A88"/>
    <w:rsid w:val="002750AB"/>
    <w:rsid w:val="0028009E"/>
    <w:rsid w:val="002802E2"/>
    <w:rsid w:val="00281519"/>
    <w:rsid w:val="00281D39"/>
    <w:rsid w:val="00285193"/>
    <w:rsid w:val="002857CD"/>
    <w:rsid w:val="00286582"/>
    <w:rsid w:val="002900C8"/>
    <w:rsid w:val="0029449E"/>
    <w:rsid w:val="00295D99"/>
    <w:rsid w:val="00295E82"/>
    <w:rsid w:val="002962F5"/>
    <w:rsid w:val="002A17B5"/>
    <w:rsid w:val="002A1C87"/>
    <w:rsid w:val="002A213A"/>
    <w:rsid w:val="002A7B00"/>
    <w:rsid w:val="002B2502"/>
    <w:rsid w:val="002B34D3"/>
    <w:rsid w:val="002B4A34"/>
    <w:rsid w:val="002B5A1F"/>
    <w:rsid w:val="002B7D02"/>
    <w:rsid w:val="002B7EB7"/>
    <w:rsid w:val="002C051A"/>
    <w:rsid w:val="002C14B5"/>
    <w:rsid w:val="002C298F"/>
    <w:rsid w:val="002C4C7F"/>
    <w:rsid w:val="002C581F"/>
    <w:rsid w:val="002D0343"/>
    <w:rsid w:val="002D1836"/>
    <w:rsid w:val="002D2E93"/>
    <w:rsid w:val="002D51DC"/>
    <w:rsid w:val="002D5C4F"/>
    <w:rsid w:val="002D65A8"/>
    <w:rsid w:val="002D65C2"/>
    <w:rsid w:val="002E07D6"/>
    <w:rsid w:val="002E4B86"/>
    <w:rsid w:val="002E5E4B"/>
    <w:rsid w:val="002F2CCE"/>
    <w:rsid w:val="002F2DD4"/>
    <w:rsid w:val="002F3FE6"/>
    <w:rsid w:val="002F7592"/>
    <w:rsid w:val="003052F0"/>
    <w:rsid w:val="00305432"/>
    <w:rsid w:val="00305D40"/>
    <w:rsid w:val="00306633"/>
    <w:rsid w:val="003100AA"/>
    <w:rsid w:val="00310111"/>
    <w:rsid w:val="0031121C"/>
    <w:rsid w:val="00311309"/>
    <w:rsid w:val="00311BBA"/>
    <w:rsid w:val="00312EBA"/>
    <w:rsid w:val="003133DC"/>
    <w:rsid w:val="00314018"/>
    <w:rsid w:val="00316617"/>
    <w:rsid w:val="003201DE"/>
    <w:rsid w:val="00321B0E"/>
    <w:rsid w:val="00322C50"/>
    <w:rsid w:val="00325196"/>
    <w:rsid w:val="00327158"/>
    <w:rsid w:val="00331034"/>
    <w:rsid w:val="00333D3D"/>
    <w:rsid w:val="00335203"/>
    <w:rsid w:val="00335B92"/>
    <w:rsid w:val="00336046"/>
    <w:rsid w:val="003423E4"/>
    <w:rsid w:val="003448C9"/>
    <w:rsid w:val="00346838"/>
    <w:rsid w:val="00346F8D"/>
    <w:rsid w:val="00351D0A"/>
    <w:rsid w:val="00354323"/>
    <w:rsid w:val="00356014"/>
    <w:rsid w:val="003567C8"/>
    <w:rsid w:val="003605BD"/>
    <w:rsid w:val="00361921"/>
    <w:rsid w:val="00364FEE"/>
    <w:rsid w:val="00365B7F"/>
    <w:rsid w:val="00367514"/>
    <w:rsid w:val="00367E7E"/>
    <w:rsid w:val="003701BA"/>
    <w:rsid w:val="00371A2D"/>
    <w:rsid w:val="00374323"/>
    <w:rsid w:val="00375124"/>
    <w:rsid w:val="00375878"/>
    <w:rsid w:val="00377C81"/>
    <w:rsid w:val="00380D10"/>
    <w:rsid w:val="00386898"/>
    <w:rsid w:val="00386C82"/>
    <w:rsid w:val="003903BD"/>
    <w:rsid w:val="0039047C"/>
    <w:rsid w:val="00391D1D"/>
    <w:rsid w:val="00394132"/>
    <w:rsid w:val="0039427E"/>
    <w:rsid w:val="003974CE"/>
    <w:rsid w:val="003A0CC0"/>
    <w:rsid w:val="003A0CCB"/>
    <w:rsid w:val="003A1F00"/>
    <w:rsid w:val="003A6D5A"/>
    <w:rsid w:val="003B1893"/>
    <w:rsid w:val="003B2416"/>
    <w:rsid w:val="003B3A52"/>
    <w:rsid w:val="003B477A"/>
    <w:rsid w:val="003B79E2"/>
    <w:rsid w:val="003C0BCA"/>
    <w:rsid w:val="003C0DC9"/>
    <w:rsid w:val="003C10F5"/>
    <w:rsid w:val="003C1450"/>
    <w:rsid w:val="003C4DD9"/>
    <w:rsid w:val="003C5415"/>
    <w:rsid w:val="003D14DD"/>
    <w:rsid w:val="003D241D"/>
    <w:rsid w:val="003D4C4A"/>
    <w:rsid w:val="003D5562"/>
    <w:rsid w:val="003D5B4F"/>
    <w:rsid w:val="003D5B68"/>
    <w:rsid w:val="003D70B4"/>
    <w:rsid w:val="003E2215"/>
    <w:rsid w:val="003E4169"/>
    <w:rsid w:val="003E6234"/>
    <w:rsid w:val="003E68F1"/>
    <w:rsid w:val="003E74DD"/>
    <w:rsid w:val="003F065C"/>
    <w:rsid w:val="003F2D85"/>
    <w:rsid w:val="003F48EF"/>
    <w:rsid w:val="003F6FF2"/>
    <w:rsid w:val="0040095A"/>
    <w:rsid w:val="00402452"/>
    <w:rsid w:val="004033BE"/>
    <w:rsid w:val="00404F47"/>
    <w:rsid w:val="004079DF"/>
    <w:rsid w:val="004102A6"/>
    <w:rsid w:val="00411D25"/>
    <w:rsid w:val="00412039"/>
    <w:rsid w:val="00415F44"/>
    <w:rsid w:val="00416AFF"/>
    <w:rsid w:val="00417151"/>
    <w:rsid w:val="004172ED"/>
    <w:rsid w:val="00431799"/>
    <w:rsid w:val="00435E70"/>
    <w:rsid w:val="00435F08"/>
    <w:rsid w:val="00440573"/>
    <w:rsid w:val="00442738"/>
    <w:rsid w:val="0044303E"/>
    <w:rsid w:val="00443211"/>
    <w:rsid w:val="00446E7B"/>
    <w:rsid w:val="0045103C"/>
    <w:rsid w:val="00451862"/>
    <w:rsid w:val="00451EC5"/>
    <w:rsid w:val="00452443"/>
    <w:rsid w:val="00453206"/>
    <w:rsid w:val="0045355B"/>
    <w:rsid w:val="004562B8"/>
    <w:rsid w:val="0045636E"/>
    <w:rsid w:val="00456D32"/>
    <w:rsid w:val="0045765F"/>
    <w:rsid w:val="00462AAB"/>
    <w:rsid w:val="00463352"/>
    <w:rsid w:val="00467EFE"/>
    <w:rsid w:val="004766FA"/>
    <w:rsid w:val="00476E28"/>
    <w:rsid w:val="004807D9"/>
    <w:rsid w:val="00483FE9"/>
    <w:rsid w:val="00484AC6"/>
    <w:rsid w:val="00484C26"/>
    <w:rsid w:val="00485E58"/>
    <w:rsid w:val="0048601B"/>
    <w:rsid w:val="004863E5"/>
    <w:rsid w:val="00490B47"/>
    <w:rsid w:val="004916F4"/>
    <w:rsid w:val="00491DAC"/>
    <w:rsid w:val="00492DAC"/>
    <w:rsid w:val="00493FE3"/>
    <w:rsid w:val="00495A6D"/>
    <w:rsid w:val="0049769E"/>
    <w:rsid w:val="004A2DF7"/>
    <w:rsid w:val="004A3CFE"/>
    <w:rsid w:val="004A4FD6"/>
    <w:rsid w:val="004A5542"/>
    <w:rsid w:val="004B0215"/>
    <w:rsid w:val="004B0474"/>
    <w:rsid w:val="004B2585"/>
    <w:rsid w:val="004B2E38"/>
    <w:rsid w:val="004B5C15"/>
    <w:rsid w:val="004B64F3"/>
    <w:rsid w:val="004C20BB"/>
    <w:rsid w:val="004C34E7"/>
    <w:rsid w:val="004C4852"/>
    <w:rsid w:val="004C76FD"/>
    <w:rsid w:val="004D0824"/>
    <w:rsid w:val="004D4102"/>
    <w:rsid w:val="004E045A"/>
    <w:rsid w:val="004E225D"/>
    <w:rsid w:val="004E4F79"/>
    <w:rsid w:val="004F232E"/>
    <w:rsid w:val="004F29B5"/>
    <w:rsid w:val="004F3FB3"/>
    <w:rsid w:val="004F5195"/>
    <w:rsid w:val="004F539A"/>
    <w:rsid w:val="004F53F7"/>
    <w:rsid w:val="004F65F6"/>
    <w:rsid w:val="00500056"/>
    <w:rsid w:val="00500BA2"/>
    <w:rsid w:val="0050112F"/>
    <w:rsid w:val="0050164C"/>
    <w:rsid w:val="005018F6"/>
    <w:rsid w:val="005070CE"/>
    <w:rsid w:val="00514B2A"/>
    <w:rsid w:val="00515176"/>
    <w:rsid w:val="00516389"/>
    <w:rsid w:val="00516E74"/>
    <w:rsid w:val="005176A3"/>
    <w:rsid w:val="0052192B"/>
    <w:rsid w:val="00523499"/>
    <w:rsid w:val="00524210"/>
    <w:rsid w:val="00524A43"/>
    <w:rsid w:val="00525915"/>
    <w:rsid w:val="00525EB6"/>
    <w:rsid w:val="0052785C"/>
    <w:rsid w:val="005304BD"/>
    <w:rsid w:val="00540F24"/>
    <w:rsid w:val="005412FA"/>
    <w:rsid w:val="00542970"/>
    <w:rsid w:val="005458A1"/>
    <w:rsid w:val="005512BE"/>
    <w:rsid w:val="005528DF"/>
    <w:rsid w:val="0055455F"/>
    <w:rsid w:val="005548F4"/>
    <w:rsid w:val="00555DF0"/>
    <w:rsid w:val="005567C9"/>
    <w:rsid w:val="005568EC"/>
    <w:rsid w:val="00557B3A"/>
    <w:rsid w:val="00557E2A"/>
    <w:rsid w:val="00562683"/>
    <w:rsid w:val="0056742A"/>
    <w:rsid w:val="005718A7"/>
    <w:rsid w:val="00571E2D"/>
    <w:rsid w:val="00573202"/>
    <w:rsid w:val="00574F9B"/>
    <w:rsid w:val="00582652"/>
    <w:rsid w:val="00584EFD"/>
    <w:rsid w:val="00585BB3"/>
    <w:rsid w:val="00590910"/>
    <w:rsid w:val="00590E18"/>
    <w:rsid w:val="005A29C1"/>
    <w:rsid w:val="005A2FDB"/>
    <w:rsid w:val="005A3F64"/>
    <w:rsid w:val="005A52C8"/>
    <w:rsid w:val="005A5C25"/>
    <w:rsid w:val="005A769C"/>
    <w:rsid w:val="005A77E2"/>
    <w:rsid w:val="005B02FF"/>
    <w:rsid w:val="005B035A"/>
    <w:rsid w:val="005B1D11"/>
    <w:rsid w:val="005B7ACA"/>
    <w:rsid w:val="005C0F16"/>
    <w:rsid w:val="005C21EE"/>
    <w:rsid w:val="005C272B"/>
    <w:rsid w:val="005C426D"/>
    <w:rsid w:val="005C53A0"/>
    <w:rsid w:val="005D0726"/>
    <w:rsid w:val="005D2E96"/>
    <w:rsid w:val="005D344A"/>
    <w:rsid w:val="005D4C6B"/>
    <w:rsid w:val="005D4FBC"/>
    <w:rsid w:val="005D5F72"/>
    <w:rsid w:val="005E0E3C"/>
    <w:rsid w:val="005E30BB"/>
    <w:rsid w:val="005E565C"/>
    <w:rsid w:val="005E59F9"/>
    <w:rsid w:val="005E5A21"/>
    <w:rsid w:val="005F16F9"/>
    <w:rsid w:val="005F34C4"/>
    <w:rsid w:val="005F3751"/>
    <w:rsid w:val="005F6606"/>
    <w:rsid w:val="005F6BA1"/>
    <w:rsid w:val="005F6C59"/>
    <w:rsid w:val="00602298"/>
    <w:rsid w:val="00605471"/>
    <w:rsid w:val="00607367"/>
    <w:rsid w:val="00610B36"/>
    <w:rsid w:val="00612C99"/>
    <w:rsid w:val="006139DF"/>
    <w:rsid w:val="00613BEA"/>
    <w:rsid w:val="00615FE8"/>
    <w:rsid w:val="0062248E"/>
    <w:rsid w:val="00624212"/>
    <w:rsid w:val="006302CF"/>
    <w:rsid w:val="006324D5"/>
    <w:rsid w:val="00632C07"/>
    <w:rsid w:val="00634A9A"/>
    <w:rsid w:val="00635403"/>
    <w:rsid w:val="00641C9F"/>
    <w:rsid w:val="00641F08"/>
    <w:rsid w:val="00641FC2"/>
    <w:rsid w:val="00644AF2"/>
    <w:rsid w:val="00644F5C"/>
    <w:rsid w:val="006451A0"/>
    <w:rsid w:val="00646569"/>
    <w:rsid w:val="006520D2"/>
    <w:rsid w:val="0065244D"/>
    <w:rsid w:val="00652C64"/>
    <w:rsid w:val="00653604"/>
    <w:rsid w:val="0065370E"/>
    <w:rsid w:val="00656B79"/>
    <w:rsid w:val="00657E20"/>
    <w:rsid w:val="00665E63"/>
    <w:rsid w:val="00671B5B"/>
    <w:rsid w:val="00682FEF"/>
    <w:rsid w:val="0068315D"/>
    <w:rsid w:val="00684A61"/>
    <w:rsid w:val="00692A23"/>
    <w:rsid w:val="006941FE"/>
    <w:rsid w:val="0069682C"/>
    <w:rsid w:val="006A06A6"/>
    <w:rsid w:val="006A1002"/>
    <w:rsid w:val="006A21CB"/>
    <w:rsid w:val="006A57D9"/>
    <w:rsid w:val="006A7F45"/>
    <w:rsid w:val="006B225F"/>
    <w:rsid w:val="006B46C4"/>
    <w:rsid w:val="006C12CE"/>
    <w:rsid w:val="006C239C"/>
    <w:rsid w:val="006C25E8"/>
    <w:rsid w:val="006C2672"/>
    <w:rsid w:val="006C3374"/>
    <w:rsid w:val="006C3DDD"/>
    <w:rsid w:val="006C456D"/>
    <w:rsid w:val="006C7E41"/>
    <w:rsid w:val="006D010F"/>
    <w:rsid w:val="006D0A27"/>
    <w:rsid w:val="006D0FF2"/>
    <w:rsid w:val="006D2E05"/>
    <w:rsid w:val="006D3D67"/>
    <w:rsid w:val="006D556F"/>
    <w:rsid w:val="006D6AEF"/>
    <w:rsid w:val="006E0CA3"/>
    <w:rsid w:val="006E224A"/>
    <w:rsid w:val="006E24C3"/>
    <w:rsid w:val="006E447B"/>
    <w:rsid w:val="006E583C"/>
    <w:rsid w:val="006E7D4D"/>
    <w:rsid w:val="006F2083"/>
    <w:rsid w:val="006F39D0"/>
    <w:rsid w:val="006F3C9C"/>
    <w:rsid w:val="006F41FE"/>
    <w:rsid w:val="006F4BB0"/>
    <w:rsid w:val="006F595A"/>
    <w:rsid w:val="006F759E"/>
    <w:rsid w:val="006F7F55"/>
    <w:rsid w:val="00700470"/>
    <w:rsid w:val="007013F9"/>
    <w:rsid w:val="00701B73"/>
    <w:rsid w:val="0070245F"/>
    <w:rsid w:val="0070301E"/>
    <w:rsid w:val="00703274"/>
    <w:rsid w:val="00703DD8"/>
    <w:rsid w:val="007074DC"/>
    <w:rsid w:val="007101F2"/>
    <w:rsid w:val="00710F59"/>
    <w:rsid w:val="00712BE4"/>
    <w:rsid w:val="007135A0"/>
    <w:rsid w:val="00713B1F"/>
    <w:rsid w:val="00713BE1"/>
    <w:rsid w:val="00713C93"/>
    <w:rsid w:val="00715B34"/>
    <w:rsid w:val="00715FE5"/>
    <w:rsid w:val="00721E8A"/>
    <w:rsid w:val="00723D57"/>
    <w:rsid w:val="00730924"/>
    <w:rsid w:val="0073127B"/>
    <w:rsid w:val="00732CEC"/>
    <w:rsid w:val="00733A6B"/>
    <w:rsid w:val="007353C0"/>
    <w:rsid w:val="007360AE"/>
    <w:rsid w:val="00737A4D"/>
    <w:rsid w:val="0074060C"/>
    <w:rsid w:val="00741546"/>
    <w:rsid w:val="00741696"/>
    <w:rsid w:val="00745988"/>
    <w:rsid w:val="00745FAA"/>
    <w:rsid w:val="00746163"/>
    <w:rsid w:val="0074699C"/>
    <w:rsid w:val="00746AEE"/>
    <w:rsid w:val="00747FE8"/>
    <w:rsid w:val="0075072C"/>
    <w:rsid w:val="007517B9"/>
    <w:rsid w:val="0075190C"/>
    <w:rsid w:val="00752F72"/>
    <w:rsid w:val="0075351E"/>
    <w:rsid w:val="007542AE"/>
    <w:rsid w:val="00756164"/>
    <w:rsid w:val="00764124"/>
    <w:rsid w:val="007653E5"/>
    <w:rsid w:val="00766B72"/>
    <w:rsid w:val="00771C5C"/>
    <w:rsid w:val="007733CA"/>
    <w:rsid w:val="007744C6"/>
    <w:rsid w:val="00774F67"/>
    <w:rsid w:val="00775388"/>
    <w:rsid w:val="00777041"/>
    <w:rsid w:val="00782565"/>
    <w:rsid w:val="0078291C"/>
    <w:rsid w:val="0078356A"/>
    <w:rsid w:val="00783A74"/>
    <w:rsid w:val="0078436E"/>
    <w:rsid w:val="007866F3"/>
    <w:rsid w:val="007874CF"/>
    <w:rsid w:val="00787FE9"/>
    <w:rsid w:val="00790537"/>
    <w:rsid w:val="0079160A"/>
    <w:rsid w:val="00793B65"/>
    <w:rsid w:val="007942F7"/>
    <w:rsid w:val="007947E0"/>
    <w:rsid w:val="00795C17"/>
    <w:rsid w:val="007960CB"/>
    <w:rsid w:val="007A2141"/>
    <w:rsid w:val="007A2A04"/>
    <w:rsid w:val="007A2E2E"/>
    <w:rsid w:val="007A4098"/>
    <w:rsid w:val="007A5B7B"/>
    <w:rsid w:val="007A6FE8"/>
    <w:rsid w:val="007A7228"/>
    <w:rsid w:val="007B13B3"/>
    <w:rsid w:val="007B3AD2"/>
    <w:rsid w:val="007C147B"/>
    <w:rsid w:val="007C2B80"/>
    <w:rsid w:val="007C4E59"/>
    <w:rsid w:val="007D04D0"/>
    <w:rsid w:val="007D1121"/>
    <w:rsid w:val="007D3E35"/>
    <w:rsid w:val="007D560F"/>
    <w:rsid w:val="007D5F67"/>
    <w:rsid w:val="007D63FC"/>
    <w:rsid w:val="007D6720"/>
    <w:rsid w:val="007D6948"/>
    <w:rsid w:val="007D7184"/>
    <w:rsid w:val="007E0145"/>
    <w:rsid w:val="007E13F4"/>
    <w:rsid w:val="007E67AD"/>
    <w:rsid w:val="007E79D5"/>
    <w:rsid w:val="007F6EEC"/>
    <w:rsid w:val="00800534"/>
    <w:rsid w:val="00800E74"/>
    <w:rsid w:val="008067E8"/>
    <w:rsid w:val="0080772F"/>
    <w:rsid w:val="008079C8"/>
    <w:rsid w:val="008131E5"/>
    <w:rsid w:val="00815066"/>
    <w:rsid w:val="00817169"/>
    <w:rsid w:val="00822427"/>
    <w:rsid w:val="008225C2"/>
    <w:rsid w:val="00830406"/>
    <w:rsid w:val="00830DDD"/>
    <w:rsid w:val="008317E8"/>
    <w:rsid w:val="00831DC9"/>
    <w:rsid w:val="0083260A"/>
    <w:rsid w:val="008330B7"/>
    <w:rsid w:val="00833B0B"/>
    <w:rsid w:val="0083772C"/>
    <w:rsid w:val="00837916"/>
    <w:rsid w:val="0084077E"/>
    <w:rsid w:val="008415D1"/>
    <w:rsid w:val="0084323F"/>
    <w:rsid w:val="00843D1C"/>
    <w:rsid w:val="008452E9"/>
    <w:rsid w:val="00845ECF"/>
    <w:rsid w:val="008471A5"/>
    <w:rsid w:val="00850FED"/>
    <w:rsid w:val="0085137F"/>
    <w:rsid w:val="0086083D"/>
    <w:rsid w:val="00861D78"/>
    <w:rsid w:val="008623F3"/>
    <w:rsid w:val="008628BE"/>
    <w:rsid w:val="00862DD0"/>
    <w:rsid w:val="00863956"/>
    <w:rsid w:val="00866459"/>
    <w:rsid w:val="00875AAE"/>
    <w:rsid w:val="008816C9"/>
    <w:rsid w:val="00882755"/>
    <w:rsid w:val="00890BDB"/>
    <w:rsid w:val="00891CA3"/>
    <w:rsid w:val="0089263F"/>
    <w:rsid w:val="0089270E"/>
    <w:rsid w:val="008930E6"/>
    <w:rsid w:val="008962FC"/>
    <w:rsid w:val="008A1619"/>
    <w:rsid w:val="008A301A"/>
    <w:rsid w:val="008A5F16"/>
    <w:rsid w:val="008A66F9"/>
    <w:rsid w:val="008B5322"/>
    <w:rsid w:val="008B54A5"/>
    <w:rsid w:val="008B5514"/>
    <w:rsid w:val="008B6287"/>
    <w:rsid w:val="008B74D2"/>
    <w:rsid w:val="008C0148"/>
    <w:rsid w:val="008C08BC"/>
    <w:rsid w:val="008C0A36"/>
    <w:rsid w:val="008C1E25"/>
    <w:rsid w:val="008C35F1"/>
    <w:rsid w:val="008C3667"/>
    <w:rsid w:val="008C4098"/>
    <w:rsid w:val="008C45DE"/>
    <w:rsid w:val="008C499D"/>
    <w:rsid w:val="008C7631"/>
    <w:rsid w:val="008D0E4C"/>
    <w:rsid w:val="008D3313"/>
    <w:rsid w:val="008D47F8"/>
    <w:rsid w:val="008D6D53"/>
    <w:rsid w:val="008D6DB0"/>
    <w:rsid w:val="008E1688"/>
    <w:rsid w:val="008E25FD"/>
    <w:rsid w:val="008E2C07"/>
    <w:rsid w:val="008E3451"/>
    <w:rsid w:val="008E359E"/>
    <w:rsid w:val="008E42C3"/>
    <w:rsid w:val="008F537D"/>
    <w:rsid w:val="008F5EF6"/>
    <w:rsid w:val="008F7EE3"/>
    <w:rsid w:val="0090132B"/>
    <w:rsid w:val="009038FA"/>
    <w:rsid w:val="009049E9"/>
    <w:rsid w:val="00912D72"/>
    <w:rsid w:val="00915050"/>
    <w:rsid w:val="00915BEF"/>
    <w:rsid w:val="00916790"/>
    <w:rsid w:val="009202CD"/>
    <w:rsid w:val="00920AD9"/>
    <w:rsid w:val="00922A0A"/>
    <w:rsid w:val="0092334D"/>
    <w:rsid w:val="00923AF3"/>
    <w:rsid w:val="00924187"/>
    <w:rsid w:val="00924680"/>
    <w:rsid w:val="00925F1C"/>
    <w:rsid w:val="009274C8"/>
    <w:rsid w:val="009308EA"/>
    <w:rsid w:val="0093288C"/>
    <w:rsid w:val="00933276"/>
    <w:rsid w:val="009340CB"/>
    <w:rsid w:val="0093411E"/>
    <w:rsid w:val="0093413E"/>
    <w:rsid w:val="0093532C"/>
    <w:rsid w:val="009356B6"/>
    <w:rsid w:val="009359F4"/>
    <w:rsid w:val="009362AC"/>
    <w:rsid w:val="00941466"/>
    <w:rsid w:val="00941CE4"/>
    <w:rsid w:val="00941D56"/>
    <w:rsid w:val="009425FD"/>
    <w:rsid w:val="0094339E"/>
    <w:rsid w:val="009436A2"/>
    <w:rsid w:val="00944C3D"/>
    <w:rsid w:val="00944CEA"/>
    <w:rsid w:val="00946056"/>
    <w:rsid w:val="0094681A"/>
    <w:rsid w:val="0094795C"/>
    <w:rsid w:val="00947EEA"/>
    <w:rsid w:val="00947F8B"/>
    <w:rsid w:val="00950789"/>
    <w:rsid w:val="009519DF"/>
    <w:rsid w:val="00953240"/>
    <w:rsid w:val="00953B43"/>
    <w:rsid w:val="009560CF"/>
    <w:rsid w:val="00956E2C"/>
    <w:rsid w:val="00960043"/>
    <w:rsid w:val="00962651"/>
    <w:rsid w:val="00964367"/>
    <w:rsid w:val="009653FB"/>
    <w:rsid w:val="00966DCE"/>
    <w:rsid w:val="009742C4"/>
    <w:rsid w:val="009802F9"/>
    <w:rsid w:val="00981DA5"/>
    <w:rsid w:val="009840C8"/>
    <w:rsid w:val="0098410C"/>
    <w:rsid w:val="009859C4"/>
    <w:rsid w:val="00985BE1"/>
    <w:rsid w:val="00986169"/>
    <w:rsid w:val="0098635E"/>
    <w:rsid w:val="00991D93"/>
    <w:rsid w:val="00993696"/>
    <w:rsid w:val="00993FDE"/>
    <w:rsid w:val="0099640F"/>
    <w:rsid w:val="00997120"/>
    <w:rsid w:val="00997A4D"/>
    <w:rsid w:val="00997B10"/>
    <w:rsid w:val="009A078A"/>
    <w:rsid w:val="009A0AB1"/>
    <w:rsid w:val="009A2E7D"/>
    <w:rsid w:val="009A2EC1"/>
    <w:rsid w:val="009A4382"/>
    <w:rsid w:val="009B215A"/>
    <w:rsid w:val="009B3656"/>
    <w:rsid w:val="009C0072"/>
    <w:rsid w:val="009C0E4F"/>
    <w:rsid w:val="009C0E6B"/>
    <w:rsid w:val="009C2CEE"/>
    <w:rsid w:val="009C4D41"/>
    <w:rsid w:val="009D178D"/>
    <w:rsid w:val="009D1900"/>
    <w:rsid w:val="009D3E7D"/>
    <w:rsid w:val="009D4051"/>
    <w:rsid w:val="009E07C0"/>
    <w:rsid w:val="009E21B5"/>
    <w:rsid w:val="009E48E5"/>
    <w:rsid w:val="009E69A8"/>
    <w:rsid w:val="009F0B8C"/>
    <w:rsid w:val="009F2364"/>
    <w:rsid w:val="009F4450"/>
    <w:rsid w:val="009F4F8F"/>
    <w:rsid w:val="009F5708"/>
    <w:rsid w:val="009F7530"/>
    <w:rsid w:val="00A00A80"/>
    <w:rsid w:val="00A063A1"/>
    <w:rsid w:val="00A07A15"/>
    <w:rsid w:val="00A10049"/>
    <w:rsid w:val="00A11426"/>
    <w:rsid w:val="00A121EA"/>
    <w:rsid w:val="00A147F5"/>
    <w:rsid w:val="00A14882"/>
    <w:rsid w:val="00A23EA3"/>
    <w:rsid w:val="00A24C34"/>
    <w:rsid w:val="00A266EB"/>
    <w:rsid w:val="00A26F4B"/>
    <w:rsid w:val="00A31E00"/>
    <w:rsid w:val="00A35EDE"/>
    <w:rsid w:val="00A37B33"/>
    <w:rsid w:val="00A424AD"/>
    <w:rsid w:val="00A474DB"/>
    <w:rsid w:val="00A53B71"/>
    <w:rsid w:val="00A559CA"/>
    <w:rsid w:val="00A55A1C"/>
    <w:rsid w:val="00A55F50"/>
    <w:rsid w:val="00A615E0"/>
    <w:rsid w:val="00A62950"/>
    <w:rsid w:val="00A637B6"/>
    <w:rsid w:val="00A6496C"/>
    <w:rsid w:val="00A72E8D"/>
    <w:rsid w:val="00A7432C"/>
    <w:rsid w:val="00A74CDE"/>
    <w:rsid w:val="00A75339"/>
    <w:rsid w:val="00A75EE6"/>
    <w:rsid w:val="00A845C8"/>
    <w:rsid w:val="00A8670B"/>
    <w:rsid w:val="00A907BC"/>
    <w:rsid w:val="00A91BB6"/>
    <w:rsid w:val="00A924C5"/>
    <w:rsid w:val="00A94506"/>
    <w:rsid w:val="00A94C46"/>
    <w:rsid w:val="00A95C14"/>
    <w:rsid w:val="00A95EAB"/>
    <w:rsid w:val="00AA0CD6"/>
    <w:rsid w:val="00AA1AF8"/>
    <w:rsid w:val="00AA39C7"/>
    <w:rsid w:val="00AA40E3"/>
    <w:rsid w:val="00AA54B1"/>
    <w:rsid w:val="00AA6DE9"/>
    <w:rsid w:val="00AB09C2"/>
    <w:rsid w:val="00AB1AAF"/>
    <w:rsid w:val="00AB21D3"/>
    <w:rsid w:val="00AB2356"/>
    <w:rsid w:val="00AB3136"/>
    <w:rsid w:val="00AB3E45"/>
    <w:rsid w:val="00AC12CD"/>
    <w:rsid w:val="00AC1F7B"/>
    <w:rsid w:val="00AC2461"/>
    <w:rsid w:val="00AC2DFF"/>
    <w:rsid w:val="00AC2E7D"/>
    <w:rsid w:val="00AC38F4"/>
    <w:rsid w:val="00AC50A9"/>
    <w:rsid w:val="00AC737D"/>
    <w:rsid w:val="00AC757D"/>
    <w:rsid w:val="00AD0EF0"/>
    <w:rsid w:val="00AD33E2"/>
    <w:rsid w:val="00AD4B7F"/>
    <w:rsid w:val="00AD609D"/>
    <w:rsid w:val="00AD65FB"/>
    <w:rsid w:val="00AD7861"/>
    <w:rsid w:val="00AE01D3"/>
    <w:rsid w:val="00AE1C4E"/>
    <w:rsid w:val="00AE1EF1"/>
    <w:rsid w:val="00AE3CB9"/>
    <w:rsid w:val="00AE490F"/>
    <w:rsid w:val="00AE5448"/>
    <w:rsid w:val="00AF2121"/>
    <w:rsid w:val="00AF4132"/>
    <w:rsid w:val="00AF584F"/>
    <w:rsid w:val="00B0079B"/>
    <w:rsid w:val="00B01E6D"/>
    <w:rsid w:val="00B1267F"/>
    <w:rsid w:val="00B17886"/>
    <w:rsid w:val="00B22C8C"/>
    <w:rsid w:val="00B233E2"/>
    <w:rsid w:val="00B34200"/>
    <w:rsid w:val="00B34657"/>
    <w:rsid w:val="00B40425"/>
    <w:rsid w:val="00B41B11"/>
    <w:rsid w:val="00B42615"/>
    <w:rsid w:val="00B43F45"/>
    <w:rsid w:val="00B45DAD"/>
    <w:rsid w:val="00B4720F"/>
    <w:rsid w:val="00B56BAA"/>
    <w:rsid w:val="00B5798C"/>
    <w:rsid w:val="00B64CA3"/>
    <w:rsid w:val="00B64E45"/>
    <w:rsid w:val="00B66201"/>
    <w:rsid w:val="00B6749C"/>
    <w:rsid w:val="00B67BBB"/>
    <w:rsid w:val="00B67CFC"/>
    <w:rsid w:val="00B67F3F"/>
    <w:rsid w:val="00B702AC"/>
    <w:rsid w:val="00B74AC2"/>
    <w:rsid w:val="00B74EC7"/>
    <w:rsid w:val="00B77711"/>
    <w:rsid w:val="00B8038C"/>
    <w:rsid w:val="00B8533B"/>
    <w:rsid w:val="00B85975"/>
    <w:rsid w:val="00B90F8E"/>
    <w:rsid w:val="00B93EF7"/>
    <w:rsid w:val="00BA1E41"/>
    <w:rsid w:val="00BA3AB0"/>
    <w:rsid w:val="00BA3EC5"/>
    <w:rsid w:val="00BA5869"/>
    <w:rsid w:val="00BA69C4"/>
    <w:rsid w:val="00BA6C42"/>
    <w:rsid w:val="00BB2B24"/>
    <w:rsid w:val="00BB436C"/>
    <w:rsid w:val="00BB43B0"/>
    <w:rsid w:val="00BB4CF6"/>
    <w:rsid w:val="00BB50E9"/>
    <w:rsid w:val="00BB5550"/>
    <w:rsid w:val="00BB67E4"/>
    <w:rsid w:val="00BB7302"/>
    <w:rsid w:val="00BB75B6"/>
    <w:rsid w:val="00BC2ACF"/>
    <w:rsid w:val="00BC4209"/>
    <w:rsid w:val="00BC53BB"/>
    <w:rsid w:val="00BC6133"/>
    <w:rsid w:val="00BC6782"/>
    <w:rsid w:val="00BC74C8"/>
    <w:rsid w:val="00BC77ED"/>
    <w:rsid w:val="00BC7AED"/>
    <w:rsid w:val="00BD3791"/>
    <w:rsid w:val="00BD4345"/>
    <w:rsid w:val="00BD4622"/>
    <w:rsid w:val="00BD7607"/>
    <w:rsid w:val="00BE10C0"/>
    <w:rsid w:val="00BE3AB3"/>
    <w:rsid w:val="00BE3DF5"/>
    <w:rsid w:val="00BE52A8"/>
    <w:rsid w:val="00BE5C89"/>
    <w:rsid w:val="00BE720C"/>
    <w:rsid w:val="00BE7F14"/>
    <w:rsid w:val="00BF0240"/>
    <w:rsid w:val="00BF2901"/>
    <w:rsid w:val="00BF4F81"/>
    <w:rsid w:val="00BF65CE"/>
    <w:rsid w:val="00BF693F"/>
    <w:rsid w:val="00C01699"/>
    <w:rsid w:val="00C037C9"/>
    <w:rsid w:val="00C068AD"/>
    <w:rsid w:val="00C10AFB"/>
    <w:rsid w:val="00C11CE5"/>
    <w:rsid w:val="00C122F6"/>
    <w:rsid w:val="00C153F5"/>
    <w:rsid w:val="00C155F2"/>
    <w:rsid w:val="00C15639"/>
    <w:rsid w:val="00C15D33"/>
    <w:rsid w:val="00C171AA"/>
    <w:rsid w:val="00C20EAE"/>
    <w:rsid w:val="00C22007"/>
    <w:rsid w:val="00C23057"/>
    <w:rsid w:val="00C230F3"/>
    <w:rsid w:val="00C24B72"/>
    <w:rsid w:val="00C2609D"/>
    <w:rsid w:val="00C309FD"/>
    <w:rsid w:val="00C339F2"/>
    <w:rsid w:val="00C33E6B"/>
    <w:rsid w:val="00C3755E"/>
    <w:rsid w:val="00C37858"/>
    <w:rsid w:val="00C43161"/>
    <w:rsid w:val="00C4348C"/>
    <w:rsid w:val="00C4469B"/>
    <w:rsid w:val="00C457FC"/>
    <w:rsid w:val="00C5181F"/>
    <w:rsid w:val="00C52C1B"/>
    <w:rsid w:val="00C53D9A"/>
    <w:rsid w:val="00C53FD4"/>
    <w:rsid w:val="00C6035D"/>
    <w:rsid w:val="00C64F78"/>
    <w:rsid w:val="00C716A2"/>
    <w:rsid w:val="00C7174C"/>
    <w:rsid w:val="00C71A5A"/>
    <w:rsid w:val="00C71BD5"/>
    <w:rsid w:val="00C72529"/>
    <w:rsid w:val="00C726A9"/>
    <w:rsid w:val="00C73F91"/>
    <w:rsid w:val="00C744A7"/>
    <w:rsid w:val="00C74B27"/>
    <w:rsid w:val="00C76309"/>
    <w:rsid w:val="00C76AB6"/>
    <w:rsid w:val="00C77B05"/>
    <w:rsid w:val="00C80433"/>
    <w:rsid w:val="00C80438"/>
    <w:rsid w:val="00C85213"/>
    <w:rsid w:val="00C85F35"/>
    <w:rsid w:val="00C86C0A"/>
    <w:rsid w:val="00C86D34"/>
    <w:rsid w:val="00C8793E"/>
    <w:rsid w:val="00C87A99"/>
    <w:rsid w:val="00C87BEF"/>
    <w:rsid w:val="00C9042A"/>
    <w:rsid w:val="00C91145"/>
    <w:rsid w:val="00C94F83"/>
    <w:rsid w:val="00C95860"/>
    <w:rsid w:val="00C97693"/>
    <w:rsid w:val="00CA15D9"/>
    <w:rsid w:val="00CA2456"/>
    <w:rsid w:val="00CA30D5"/>
    <w:rsid w:val="00CA4577"/>
    <w:rsid w:val="00CA56B6"/>
    <w:rsid w:val="00CA56EA"/>
    <w:rsid w:val="00CA5E98"/>
    <w:rsid w:val="00CA7BF0"/>
    <w:rsid w:val="00CB05F8"/>
    <w:rsid w:val="00CB1824"/>
    <w:rsid w:val="00CB19C0"/>
    <w:rsid w:val="00CB1DE0"/>
    <w:rsid w:val="00CB3209"/>
    <w:rsid w:val="00CC053D"/>
    <w:rsid w:val="00CC07E0"/>
    <w:rsid w:val="00CC1F8C"/>
    <w:rsid w:val="00CC4DBD"/>
    <w:rsid w:val="00CC6A1F"/>
    <w:rsid w:val="00CC74A2"/>
    <w:rsid w:val="00CD3AF5"/>
    <w:rsid w:val="00CD5087"/>
    <w:rsid w:val="00CD5AE7"/>
    <w:rsid w:val="00CE00D3"/>
    <w:rsid w:val="00CE0986"/>
    <w:rsid w:val="00CE0CFB"/>
    <w:rsid w:val="00CE28FC"/>
    <w:rsid w:val="00CE6B06"/>
    <w:rsid w:val="00CF0597"/>
    <w:rsid w:val="00CF0623"/>
    <w:rsid w:val="00CF1246"/>
    <w:rsid w:val="00CF2838"/>
    <w:rsid w:val="00CF4271"/>
    <w:rsid w:val="00CF447E"/>
    <w:rsid w:val="00CF50EE"/>
    <w:rsid w:val="00CF6628"/>
    <w:rsid w:val="00CF7AD0"/>
    <w:rsid w:val="00D01786"/>
    <w:rsid w:val="00D026C7"/>
    <w:rsid w:val="00D030DC"/>
    <w:rsid w:val="00D0332B"/>
    <w:rsid w:val="00D05621"/>
    <w:rsid w:val="00D07AA5"/>
    <w:rsid w:val="00D106CA"/>
    <w:rsid w:val="00D1125E"/>
    <w:rsid w:val="00D120D4"/>
    <w:rsid w:val="00D13BFF"/>
    <w:rsid w:val="00D142A7"/>
    <w:rsid w:val="00D153D3"/>
    <w:rsid w:val="00D15B6A"/>
    <w:rsid w:val="00D17E99"/>
    <w:rsid w:val="00D21ABF"/>
    <w:rsid w:val="00D21D40"/>
    <w:rsid w:val="00D23167"/>
    <w:rsid w:val="00D233FE"/>
    <w:rsid w:val="00D24050"/>
    <w:rsid w:val="00D242C9"/>
    <w:rsid w:val="00D24DA8"/>
    <w:rsid w:val="00D271A8"/>
    <w:rsid w:val="00D305DA"/>
    <w:rsid w:val="00D362D4"/>
    <w:rsid w:val="00D367FB"/>
    <w:rsid w:val="00D37B58"/>
    <w:rsid w:val="00D424CB"/>
    <w:rsid w:val="00D42DA9"/>
    <w:rsid w:val="00D43202"/>
    <w:rsid w:val="00D45F3D"/>
    <w:rsid w:val="00D463C1"/>
    <w:rsid w:val="00D505D8"/>
    <w:rsid w:val="00D616EB"/>
    <w:rsid w:val="00D632D8"/>
    <w:rsid w:val="00D71505"/>
    <w:rsid w:val="00D71CA4"/>
    <w:rsid w:val="00D72285"/>
    <w:rsid w:val="00D73121"/>
    <w:rsid w:val="00D737C4"/>
    <w:rsid w:val="00D73C6C"/>
    <w:rsid w:val="00D75E39"/>
    <w:rsid w:val="00D804CD"/>
    <w:rsid w:val="00D824A2"/>
    <w:rsid w:val="00D856F7"/>
    <w:rsid w:val="00D8594E"/>
    <w:rsid w:val="00D866F7"/>
    <w:rsid w:val="00D8704A"/>
    <w:rsid w:val="00D903F4"/>
    <w:rsid w:val="00D91FFD"/>
    <w:rsid w:val="00D923B4"/>
    <w:rsid w:val="00D9335D"/>
    <w:rsid w:val="00D96759"/>
    <w:rsid w:val="00D97333"/>
    <w:rsid w:val="00DA1435"/>
    <w:rsid w:val="00DA20FF"/>
    <w:rsid w:val="00DA68B5"/>
    <w:rsid w:val="00DA785C"/>
    <w:rsid w:val="00DB06C5"/>
    <w:rsid w:val="00DB1DDC"/>
    <w:rsid w:val="00DB24C2"/>
    <w:rsid w:val="00DB35DD"/>
    <w:rsid w:val="00DC4A0E"/>
    <w:rsid w:val="00DC4F80"/>
    <w:rsid w:val="00DD6B9F"/>
    <w:rsid w:val="00DE2A7A"/>
    <w:rsid w:val="00DE2F75"/>
    <w:rsid w:val="00DE452F"/>
    <w:rsid w:val="00DE59A0"/>
    <w:rsid w:val="00DE7312"/>
    <w:rsid w:val="00DF1261"/>
    <w:rsid w:val="00DF132C"/>
    <w:rsid w:val="00DF1A44"/>
    <w:rsid w:val="00DF270E"/>
    <w:rsid w:val="00DF3ACB"/>
    <w:rsid w:val="00DF4D40"/>
    <w:rsid w:val="00DF4E1C"/>
    <w:rsid w:val="00DF70EE"/>
    <w:rsid w:val="00E003C2"/>
    <w:rsid w:val="00E0369E"/>
    <w:rsid w:val="00E06DFF"/>
    <w:rsid w:val="00E07929"/>
    <w:rsid w:val="00E1119F"/>
    <w:rsid w:val="00E13193"/>
    <w:rsid w:val="00E13FC9"/>
    <w:rsid w:val="00E144F1"/>
    <w:rsid w:val="00E17EA6"/>
    <w:rsid w:val="00E236EF"/>
    <w:rsid w:val="00E24481"/>
    <w:rsid w:val="00E25B82"/>
    <w:rsid w:val="00E25BDB"/>
    <w:rsid w:val="00E331C5"/>
    <w:rsid w:val="00E33932"/>
    <w:rsid w:val="00E35C87"/>
    <w:rsid w:val="00E471A9"/>
    <w:rsid w:val="00E47ECF"/>
    <w:rsid w:val="00E5022C"/>
    <w:rsid w:val="00E5143B"/>
    <w:rsid w:val="00E51B8A"/>
    <w:rsid w:val="00E521ED"/>
    <w:rsid w:val="00E52C7B"/>
    <w:rsid w:val="00E55873"/>
    <w:rsid w:val="00E57D74"/>
    <w:rsid w:val="00E63498"/>
    <w:rsid w:val="00E63B15"/>
    <w:rsid w:val="00E65F8C"/>
    <w:rsid w:val="00E66FB8"/>
    <w:rsid w:val="00E66FFA"/>
    <w:rsid w:val="00E70AC9"/>
    <w:rsid w:val="00E7358E"/>
    <w:rsid w:val="00E7606B"/>
    <w:rsid w:val="00E76AED"/>
    <w:rsid w:val="00E77303"/>
    <w:rsid w:val="00E775BC"/>
    <w:rsid w:val="00E80E08"/>
    <w:rsid w:val="00E8189F"/>
    <w:rsid w:val="00E827FA"/>
    <w:rsid w:val="00E83F92"/>
    <w:rsid w:val="00E85227"/>
    <w:rsid w:val="00E87384"/>
    <w:rsid w:val="00E923D4"/>
    <w:rsid w:val="00E93708"/>
    <w:rsid w:val="00E94F85"/>
    <w:rsid w:val="00EA0008"/>
    <w:rsid w:val="00EA001B"/>
    <w:rsid w:val="00EA1DDB"/>
    <w:rsid w:val="00EA54DE"/>
    <w:rsid w:val="00EA76AB"/>
    <w:rsid w:val="00EA7923"/>
    <w:rsid w:val="00EB002E"/>
    <w:rsid w:val="00EB25AB"/>
    <w:rsid w:val="00EB40C9"/>
    <w:rsid w:val="00EB4DD7"/>
    <w:rsid w:val="00EB58D0"/>
    <w:rsid w:val="00EB60CA"/>
    <w:rsid w:val="00EB7FCB"/>
    <w:rsid w:val="00EC0254"/>
    <w:rsid w:val="00EC0630"/>
    <w:rsid w:val="00EC1A4D"/>
    <w:rsid w:val="00EC7185"/>
    <w:rsid w:val="00ED048F"/>
    <w:rsid w:val="00ED1E72"/>
    <w:rsid w:val="00ED2B07"/>
    <w:rsid w:val="00ED5202"/>
    <w:rsid w:val="00EE3972"/>
    <w:rsid w:val="00EE4792"/>
    <w:rsid w:val="00EE78C5"/>
    <w:rsid w:val="00EF0D8B"/>
    <w:rsid w:val="00EF1420"/>
    <w:rsid w:val="00EF15E7"/>
    <w:rsid w:val="00EF3456"/>
    <w:rsid w:val="00EF5BE1"/>
    <w:rsid w:val="00EF5CA7"/>
    <w:rsid w:val="00F0046B"/>
    <w:rsid w:val="00F004F2"/>
    <w:rsid w:val="00F0206C"/>
    <w:rsid w:val="00F0457A"/>
    <w:rsid w:val="00F06BE2"/>
    <w:rsid w:val="00F06CB3"/>
    <w:rsid w:val="00F0715A"/>
    <w:rsid w:val="00F130EA"/>
    <w:rsid w:val="00F16344"/>
    <w:rsid w:val="00F17609"/>
    <w:rsid w:val="00F17E9A"/>
    <w:rsid w:val="00F22B5B"/>
    <w:rsid w:val="00F25F6B"/>
    <w:rsid w:val="00F27DED"/>
    <w:rsid w:val="00F303F2"/>
    <w:rsid w:val="00F30945"/>
    <w:rsid w:val="00F31884"/>
    <w:rsid w:val="00F31D85"/>
    <w:rsid w:val="00F321C7"/>
    <w:rsid w:val="00F32FF0"/>
    <w:rsid w:val="00F33716"/>
    <w:rsid w:val="00F367CC"/>
    <w:rsid w:val="00F36A60"/>
    <w:rsid w:val="00F40034"/>
    <w:rsid w:val="00F400C3"/>
    <w:rsid w:val="00F40F3B"/>
    <w:rsid w:val="00F428FE"/>
    <w:rsid w:val="00F43F50"/>
    <w:rsid w:val="00F45A74"/>
    <w:rsid w:val="00F475A7"/>
    <w:rsid w:val="00F53758"/>
    <w:rsid w:val="00F57C61"/>
    <w:rsid w:val="00F57FE1"/>
    <w:rsid w:val="00F60CFF"/>
    <w:rsid w:val="00F6226F"/>
    <w:rsid w:val="00F628E5"/>
    <w:rsid w:val="00F637D9"/>
    <w:rsid w:val="00F63BD3"/>
    <w:rsid w:val="00F65BB4"/>
    <w:rsid w:val="00F6777F"/>
    <w:rsid w:val="00F71B3B"/>
    <w:rsid w:val="00F73DD4"/>
    <w:rsid w:val="00F757CB"/>
    <w:rsid w:val="00F76229"/>
    <w:rsid w:val="00F7707A"/>
    <w:rsid w:val="00F81BED"/>
    <w:rsid w:val="00F823F8"/>
    <w:rsid w:val="00F827A7"/>
    <w:rsid w:val="00F845CD"/>
    <w:rsid w:val="00F84826"/>
    <w:rsid w:val="00F84DA9"/>
    <w:rsid w:val="00F8537B"/>
    <w:rsid w:val="00F85665"/>
    <w:rsid w:val="00F91504"/>
    <w:rsid w:val="00F91F1B"/>
    <w:rsid w:val="00F9248F"/>
    <w:rsid w:val="00F934A3"/>
    <w:rsid w:val="00FA1712"/>
    <w:rsid w:val="00FA497D"/>
    <w:rsid w:val="00FA5F84"/>
    <w:rsid w:val="00FA61CE"/>
    <w:rsid w:val="00FB222C"/>
    <w:rsid w:val="00FB26EC"/>
    <w:rsid w:val="00FB36AD"/>
    <w:rsid w:val="00FB4529"/>
    <w:rsid w:val="00FB52EE"/>
    <w:rsid w:val="00FB5617"/>
    <w:rsid w:val="00FB73B2"/>
    <w:rsid w:val="00FC018E"/>
    <w:rsid w:val="00FC0248"/>
    <w:rsid w:val="00FC111D"/>
    <w:rsid w:val="00FC2EA1"/>
    <w:rsid w:val="00FC461C"/>
    <w:rsid w:val="00FC72D7"/>
    <w:rsid w:val="00FD037B"/>
    <w:rsid w:val="00FD1B8E"/>
    <w:rsid w:val="00FD4EF4"/>
    <w:rsid w:val="00FD59FA"/>
    <w:rsid w:val="00FE0142"/>
    <w:rsid w:val="00FE19B3"/>
    <w:rsid w:val="00FE289B"/>
    <w:rsid w:val="00FE31F7"/>
    <w:rsid w:val="00FE3FAE"/>
    <w:rsid w:val="00FE42A6"/>
    <w:rsid w:val="00FE6A1E"/>
    <w:rsid w:val="00FE756A"/>
    <w:rsid w:val="00FF0284"/>
    <w:rsid w:val="00FF0D7A"/>
    <w:rsid w:val="00FF1670"/>
    <w:rsid w:val="00FF27AC"/>
    <w:rsid w:val="00FF2D0B"/>
    <w:rsid w:val="00FF3444"/>
    <w:rsid w:val="00FF546C"/>
    <w:rsid w:val="00FF599F"/>
    <w:rsid w:val="00FF61BC"/>
    <w:rsid w:val="00FF74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2E8D"/>
    <w:pPr>
      <w:widowControl w:val="0"/>
      <w:jc w:val="both"/>
    </w:pPr>
    <w:rPr>
      <w:kern w:val="2"/>
      <w:sz w:val="21"/>
      <w:szCs w:val="24"/>
    </w:rPr>
  </w:style>
  <w:style w:type="paragraph" w:styleId="1">
    <w:name w:val="heading 1"/>
    <w:basedOn w:val="a"/>
    <w:next w:val="a"/>
    <w:link w:val="1Char"/>
    <w:qFormat/>
    <w:rsid w:val="004E045A"/>
    <w:pPr>
      <w:keepNext/>
      <w:keepLines/>
      <w:spacing w:before="340" w:after="330" w:line="578" w:lineRule="auto"/>
      <w:outlineLvl w:val="0"/>
    </w:pPr>
    <w:rPr>
      <w:b/>
      <w:bCs/>
      <w:kern w:val="44"/>
      <w:sz w:val="44"/>
      <w:szCs w:val="44"/>
    </w:rPr>
  </w:style>
  <w:style w:type="paragraph" w:styleId="3">
    <w:name w:val="heading 3"/>
    <w:basedOn w:val="a"/>
    <w:qFormat/>
    <w:rsid w:val="00922A0A"/>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autoRedefine/>
    <w:rsid w:val="006D0A27"/>
    <w:rPr>
      <w:rFonts w:ascii="Tahoma" w:hAnsi="Tahoma"/>
    </w:rPr>
  </w:style>
  <w:style w:type="paragraph" w:styleId="a3">
    <w:name w:val="header"/>
    <w:basedOn w:val="a"/>
    <w:rsid w:val="00327158"/>
    <w:pPr>
      <w:pBdr>
        <w:bottom w:val="single" w:sz="6" w:space="1" w:color="auto"/>
      </w:pBdr>
      <w:tabs>
        <w:tab w:val="center" w:pos="4153"/>
        <w:tab w:val="right" w:pos="8306"/>
      </w:tabs>
      <w:snapToGrid w:val="0"/>
      <w:jc w:val="center"/>
    </w:pPr>
    <w:rPr>
      <w:sz w:val="18"/>
      <w:szCs w:val="18"/>
    </w:rPr>
  </w:style>
  <w:style w:type="paragraph" w:styleId="a4">
    <w:name w:val="footer"/>
    <w:basedOn w:val="a"/>
    <w:rsid w:val="00327158"/>
    <w:pPr>
      <w:tabs>
        <w:tab w:val="center" w:pos="4153"/>
        <w:tab w:val="right" w:pos="8306"/>
      </w:tabs>
      <w:snapToGrid w:val="0"/>
      <w:jc w:val="left"/>
    </w:pPr>
    <w:rPr>
      <w:sz w:val="18"/>
      <w:szCs w:val="18"/>
    </w:rPr>
  </w:style>
  <w:style w:type="table" w:styleId="a5">
    <w:name w:val="Table Grid"/>
    <w:basedOn w:val="a1"/>
    <w:rsid w:val="00BB67E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822427"/>
    <w:rPr>
      <w:sz w:val="18"/>
      <w:szCs w:val="18"/>
    </w:rPr>
  </w:style>
  <w:style w:type="character" w:styleId="a7">
    <w:name w:val="page number"/>
    <w:basedOn w:val="a0"/>
    <w:rsid w:val="00045A6D"/>
  </w:style>
  <w:style w:type="paragraph" w:customStyle="1" w:styleId="a8">
    <w:name w:val="段"/>
    <w:rsid w:val="001941D6"/>
    <w:pPr>
      <w:tabs>
        <w:tab w:val="center" w:pos="4201"/>
        <w:tab w:val="right" w:leader="dot" w:pos="9298"/>
      </w:tabs>
      <w:autoSpaceDE w:val="0"/>
      <w:autoSpaceDN w:val="0"/>
      <w:ind w:firstLineChars="200" w:firstLine="420"/>
      <w:jc w:val="both"/>
    </w:pPr>
    <w:rPr>
      <w:rFonts w:ascii="宋体" w:cs="宋体"/>
      <w:noProof/>
      <w:sz w:val="21"/>
      <w:szCs w:val="21"/>
    </w:rPr>
  </w:style>
  <w:style w:type="paragraph" w:styleId="a9">
    <w:name w:val="Body Text Indent"/>
    <w:basedOn w:val="a"/>
    <w:link w:val="Char0"/>
    <w:uiPriority w:val="99"/>
    <w:rsid w:val="009742C4"/>
    <w:pPr>
      <w:spacing w:after="120"/>
      <w:ind w:leftChars="200" w:left="420"/>
    </w:pPr>
  </w:style>
  <w:style w:type="character" w:customStyle="1" w:styleId="Char0">
    <w:name w:val="正文文本缩进 Char"/>
    <w:basedOn w:val="a0"/>
    <w:link w:val="a9"/>
    <w:uiPriority w:val="99"/>
    <w:rsid w:val="009742C4"/>
    <w:rPr>
      <w:kern w:val="2"/>
      <w:sz w:val="21"/>
      <w:szCs w:val="24"/>
    </w:rPr>
  </w:style>
  <w:style w:type="paragraph" w:styleId="aa">
    <w:name w:val="Revision"/>
    <w:hidden/>
    <w:uiPriority w:val="99"/>
    <w:semiHidden/>
    <w:rsid w:val="00AB09C2"/>
    <w:rPr>
      <w:kern w:val="2"/>
      <w:sz w:val="21"/>
      <w:szCs w:val="24"/>
    </w:rPr>
  </w:style>
  <w:style w:type="paragraph" w:styleId="ab">
    <w:name w:val="Date"/>
    <w:basedOn w:val="a"/>
    <w:next w:val="a"/>
    <w:link w:val="Char1"/>
    <w:rsid w:val="00AB09C2"/>
    <w:pPr>
      <w:ind w:leftChars="2500" w:left="100"/>
    </w:pPr>
  </w:style>
  <w:style w:type="character" w:customStyle="1" w:styleId="Char1">
    <w:name w:val="日期 Char"/>
    <w:basedOn w:val="a0"/>
    <w:link w:val="ab"/>
    <w:rsid w:val="00AB09C2"/>
    <w:rPr>
      <w:kern w:val="2"/>
      <w:sz w:val="21"/>
      <w:szCs w:val="24"/>
    </w:rPr>
  </w:style>
  <w:style w:type="paragraph" w:styleId="ac">
    <w:name w:val="List Paragraph"/>
    <w:basedOn w:val="a"/>
    <w:uiPriority w:val="34"/>
    <w:qFormat/>
    <w:rsid w:val="00AB09C2"/>
    <w:pPr>
      <w:ind w:firstLineChars="200" w:firstLine="420"/>
    </w:pPr>
  </w:style>
  <w:style w:type="character" w:styleId="ad">
    <w:name w:val="Strong"/>
    <w:basedOn w:val="a0"/>
    <w:uiPriority w:val="22"/>
    <w:qFormat/>
    <w:rsid w:val="004E045A"/>
    <w:rPr>
      <w:b/>
      <w:bCs/>
    </w:rPr>
  </w:style>
  <w:style w:type="character" w:customStyle="1" w:styleId="1Char">
    <w:name w:val="标题 1 Char"/>
    <w:basedOn w:val="a0"/>
    <w:link w:val="1"/>
    <w:rsid w:val="004E045A"/>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91704679">
      <w:bodyDiv w:val="1"/>
      <w:marLeft w:val="0"/>
      <w:marRight w:val="0"/>
      <w:marTop w:val="0"/>
      <w:marBottom w:val="0"/>
      <w:divBdr>
        <w:top w:val="none" w:sz="0" w:space="0" w:color="auto"/>
        <w:left w:val="none" w:sz="0" w:space="0" w:color="auto"/>
        <w:bottom w:val="none" w:sz="0" w:space="0" w:color="auto"/>
        <w:right w:val="none" w:sz="0" w:space="0" w:color="auto"/>
      </w:divBdr>
    </w:div>
    <w:div w:id="133185610">
      <w:bodyDiv w:val="1"/>
      <w:marLeft w:val="0"/>
      <w:marRight w:val="0"/>
      <w:marTop w:val="0"/>
      <w:marBottom w:val="0"/>
      <w:divBdr>
        <w:top w:val="none" w:sz="0" w:space="0" w:color="auto"/>
        <w:left w:val="none" w:sz="0" w:space="0" w:color="auto"/>
        <w:bottom w:val="none" w:sz="0" w:space="0" w:color="auto"/>
        <w:right w:val="none" w:sz="0" w:space="0" w:color="auto"/>
      </w:divBdr>
      <w:divsChild>
        <w:div w:id="16398126">
          <w:marLeft w:val="0"/>
          <w:marRight w:val="0"/>
          <w:marTop w:val="0"/>
          <w:marBottom w:val="0"/>
          <w:divBdr>
            <w:top w:val="none" w:sz="0" w:space="0" w:color="auto"/>
            <w:left w:val="none" w:sz="0" w:space="0" w:color="auto"/>
            <w:bottom w:val="none" w:sz="0" w:space="0" w:color="auto"/>
            <w:right w:val="none" w:sz="0" w:space="0" w:color="auto"/>
          </w:divBdr>
        </w:div>
      </w:divsChild>
    </w:div>
    <w:div w:id="196895093">
      <w:bodyDiv w:val="1"/>
      <w:marLeft w:val="0"/>
      <w:marRight w:val="0"/>
      <w:marTop w:val="0"/>
      <w:marBottom w:val="0"/>
      <w:divBdr>
        <w:top w:val="none" w:sz="0" w:space="0" w:color="auto"/>
        <w:left w:val="none" w:sz="0" w:space="0" w:color="auto"/>
        <w:bottom w:val="none" w:sz="0" w:space="0" w:color="auto"/>
        <w:right w:val="none" w:sz="0" w:space="0" w:color="auto"/>
      </w:divBdr>
    </w:div>
    <w:div w:id="253824847">
      <w:bodyDiv w:val="1"/>
      <w:marLeft w:val="0"/>
      <w:marRight w:val="0"/>
      <w:marTop w:val="0"/>
      <w:marBottom w:val="0"/>
      <w:divBdr>
        <w:top w:val="none" w:sz="0" w:space="0" w:color="auto"/>
        <w:left w:val="none" w:sz="0" w:space="0" w:color="auto"/>
        <w:bottom w:val="none" w:sz="0" w:space="0" w:color="auto"/>
        <w:right w:val="none" w:sz="0" w:space="0" w:color="auto"/>
      </w:divBdr>
    </w:div>
    <w:div w:id="338430060">
      <w:bodyDiv w:val="1"/>
      <w:marLeft w:val="0"/>
      <w:marRight w:val="0"/>
      <w:marTop w:val="0"/>
      <w:marBottom w:val="0"/>
      <w:divBdr>
        <w:top w:val="none" w:sz="0" w:space="0" w:color="auto"/>
        <w:left w:val="none" w:sz="0" w:space="0" w:color="auto"/>
        <w:bottom w:val="none" w:sz="0" w:space="0" w:color="auto"/>
        <w:right w:val="none" w:sz="0" w:space="0" w:color="auto"/>
      </w:divBdr>
    </w:div>
    <w:div w:id="434181049">
      <w:bodyDiv w:val="1"/>
      <w:marLeft w:val="0"/>
      <w:marRight w:val="0"/>
      <w:marTop w:val="0"/>
      <w:marBottom w:val="0"/>
      <w:divBdr>
        <w:top w:val="none" w:sz="0" w:space="0" w:color="auto"/>
        <w:left w:val="none" w:sz="0" w:space="0" w:color="auto"/>
        <w:bottom w:val="none" w:sz="0" w:space="0" w:color="auto"/>
        <w:right w:val="none" w:sz="0" w:space="0" w:color="auto"/>
      </w:divBdr>
      <w:divsChild>
        <w:div w:id="1517039039">
          <w:marLeft w:val="0"/>
          <w:marRight w:val="0"/>
          <w:marTop w:val="0"/>
          <w:marBottom w:val="0"/>
          <w:divBdr>
            <w:top w:val="none" w:sz="0" w:space="0" w:color="auto"/>
            <w:left w:val="none" w:sz="0" w:space="0" w:color="auto"/>
            <w:bottom w:val="none" w:sz="0" w:space="0" w:color="auto"/>
            <w:right w:val="none" w:sz="0" w:space="0" w:color="auto"/>
          </w:divBdr>
          <w:divsChild>
            <w:div w:id="44916327">
              <w:marLeft w:val="0"/>
              <w:marRight w:val="0"/>
              <w:marTop w:val="0"/>
              <w:marBottom w:val="0"/>
              <w:divBdr>
                <w:top w:val="none" w:sz="0" w:space="0" w:color="auto"/>
                <w:left w:val="none" w:sz="0" w:space="0" w:color="auto"/>
                <w:bottom w:val="none" w:sz="0" w:space="0" w:color="auto"/>
                <w:right w:val="none" w:sz="0" w:space="0" w:color="auto"/>
              </w:divBdr>
            </w:div>
            <w:div w:id="347222703">
              <w:marLeft w:val="0"/>
              <w:marRight w:val="0"/>
              <w:marTop w:val="0"/>
              <w:marBottom w:val="0"/>
              <w:divBdr>
                <w:top w:val="none" w:sz="0" w:space="0" w:color="auto"/>
                <w:left w:val="none" w:sz="0" w:space="0" w:color="auto"/>
                <w:bottom w:val="none" w:sz="0" w:space="0" w:color="auto"/>
                <w:right w:val="none" w:sz="0" w:space="0" w:color="auto"/>
              </w:divBdr>
            </w:div>
            <w:div w:id="645470693">
              <w:marLeft w:val="0"/>
              <w:marRight w:val="0"/>
              <w:marTop w:val="0"/>
              <w:marBottom w:val="0"/>
              <w:divBdr>
                <w:top w:val="none" w:sz="0" w:space="0" w:color="auto"/>
                <w:left w:val="none" w:sz="0" w:space="0" w:color="auto"/>
                <w:bottom w:val="none" w:sz="0" w:space="0" w:color="auto"/>
                <w:right w:val="none" w:sz="0" w:space="0" w:color="auto"/>
              </w:divBdr>
            </w:div>
            <w:div w:id="734200006">
              <w:marLeft w:val="0"/>
              <w:marRight w:val="0"/>
              <w:marTop w:val="0"/>
              <w:marBottom w:val="0"/>
              <w:divBdr>
                <w:top w:val="none" w:sz="0" w:space="0" w:color="auto"/>
                <w:left w:val="none" w:sz="0" w:space="0" w:color="auto"/>
                <w:bottom w:val="none" w:sz="0" w:space="0" w:color="auto"/>
                <w:right w:val="none" w:sz="0" w:space="0" w:color="auto"/>
              </w:divBdr>
            </w:div>
            <w:div w:id="786243615">
              <w:marLeft w:val="0"/>
              <w:marRight w:val="0"/>
              <w:marTop w:val="0"/>
              <w:marBottom w:val="0"/>
              <w:divBdr>
                <w:top w:val="none" w:sz="0" w:space="0" w:color="auto"/>
                <w:left w:val="none" w:sz="0" w:space="0" w:color="auto"/>
                <w:bottom w:val="none" w:sz="0" w:space="0" w:color="auto"/>
                <w:right w:val="none" w:sz="0" w:space="0" w:color="auto"/>
              </w:divBdr>
            </w:div>
            <w:div w:id="1345665367">
              <w:marLeft w:val="0"/>
              <w:marRight w:val="0"/>
              <w:marTop w:val="0"/>
              <w:marBottom w:val="0"/>
              <w:divBdr>
                <w:top w:val="none" w:sz="0" w:space="0" w:color="auto"/>
                <w:left w:val="none" w:sz="0" w:space="0" w:color="auto"/>
                <w:bottom w:val="none" w:sz="0" w:space="0" w:color="auto"/>
                <w:right w:val="none" w:sz="0" w:space="0" w:color="auto"/>
              </w:divBdr>
            </w:div>
            <w:div w:id="1558975850">
              <w:marLeft w:val="0"/>
              <w:marRight w:val="0"/>
              <w:marTop w:val="0"/>
              <w:marBottom w:val="0"/>
              <w:divBdr>
                <w:top w:val="none" w:sz="0" w:space="0" w:color="auto"/>
                <w:left w:val="none" w:sz="0" w:space="0" w:color="auto"/>
                <w:bottom w:val="none" w:sz="0" w:space="0" w:color="auto"/>
                <w:right w:val="none" w:sz="0" w:space="0" w:color="auto"/>
              </w:divBdr>
            </w:div>
            <w:div w:id="1967345898">
              <w:marLeft w:val="0"/>
              <w:marRight w:val="0"/>
              <w:marTop w:val="0"/>
              <w:marBottom w:val="0"/>
              <w:divBdr>
                <w:top w:val="none" w:sz="0" w:space="0" w:color="auto"/>
                <w:left w:val="none" w:sz="0" w:space="0" w:color="auto"/>
                <w:bottom w:val="none" w:sz="0" w:space="0" w:color="auto"/>
                <w:right w:val="none" w:sz="0" w:space="0" w:color="auto"/>
              </w:divBdr>
            </w:div>
            <w:div w:id="2040277404">
              <w:marLeft w:val="0"/>
              <w:marRight w:val="0"/>
              <w:marTop w:val="0"/>
              <w:marBottom w:val="0"/>
              <w:divBdr>
                <w:top w:val="none" w:sz="0" w:space="0" w:color="auto"/>
                <w:left w:val="none" w:sz="0" w:space="0" w:color="auto"/>
                <w:bottom w:val="none" w:sz="0" w:space="0" w:color="auto"/>
                <w:right w:val="none" w:sz="0" w:space="0" w:color="auto"/>
              </w:divBdr>
            </w:div>
            <w:div w:id="212291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1545">
      <w:bodyDiv w:val="1"/>
      <w:marLeft w:val="0"/>
      <w:marRight w:val="0"/>
      <w:marTop w:val="0"/>
      <w:marBottom w:val="0"/>
      <w:divBdr>
        <w:top w:val="none" w:sz="0" w:space="0" w:color="auto"/>
        <w:left w:val="none" w:sz="0" w:space="0" w:color="auto"/>
        <w:bottom w:val="none" w:sz="0" w:space="0" w:color="auto"/>
        <w:right w:val="none" w:sz="0" w:space="0" w:color="auto"/>
      </w:divBdr>
    </w:div>
    <w:div w:id="1210411354">
      <w:bodyDiv w:val="1"/>
      <w:marLeft w:val="0"/>
      <w:marRight w:val="0"/>
      <w:marTop w:val="0"/>
      <w:marBottom w:val="0"/>
      <w:divBdr>
        <w:top w:val="none" w:sz="0" w:space="0" w:color="auto"/>
        <w:left w:val="none" w:sz="0" w:space="0" w:color="auto"/>
        <w:bottom w:val="none" w:sz="0" w:space="0" w:color="auto"/>
        <w:right w:val="none" w:sz="0" w:space="0" w:color="auto"/>
      </w:divBdr>
    </w:div>
    <w:div w:id="1331717964">
      <w:bodyDiv w:val="1"/>
      <w:marLeft w:val="0"/>
      <w:marRight w:val="0"/>
      <w:marTop w:val="0"/>
      <w:marBottom w:val="0"/>
      <w:divBdr>
        <w:top w:val="none" w:sz="0" w:space="0" w:color="auto"/>
        <w:left w:val="none" w:sz="0" w:space="0" w:color="auto"/>
        <w:bottom w:val="none" w:sz="0" w:space="0" w:color="auto"/>
        <w:right w:val="none" w:sz="0" w:space="0" w:color="auto"/>
      </w:divBdr>
    </w:div>
    <w:div w:id="139770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965</TotalTime>
  <Pages>5</Pages>
  <Words>611</Words>
  <Characters>3483</Characters>
  <Application>Microsoft Office Word</Application>
  <DocSecurity>0</DocSecurity>
  <Lines>29</Lines>
  <Paragraphs>8</Paragraphs>
  <ScaleCrop>false</ScaleCrop>
  <Company>bbb</Company>
  <LinksUpToDate>false</LinksUpToDate>
  <CharactersWithSpaces>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jjj</dc:creator>
  <cp:lastModifiedBy>jgs201207-2</cp:lastModifiedBy>
  <cp:revision>31</cp:revision>
  <dcterms:created xsi:type="dcterms:W3CDTF">2016-08-04T09:22:00Z</dcterms:created>
  <dcterms:modified xsi:type="dcterms:W3CDTF">2016-11-18T09:05:00Z</dcterms:modified>
</cp:coreProperties>
</file>